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0131D" w:rsidRPr="00F67EA6" w:rsidP="00E0131D">
      <w:pPr>
        <w:jc w:val="center"/>
        <w:rPr>
          <w:b/>
          <w:color w:val="000000" w:themeColor="text1"/>
          <w:sz w:val="28"/>
          <w:szCs w:val="28"/>
          <w:u w:val="single"/>
        </w:rPr>
      </w:pPr>
      <w:r w:rsidRPr="00F67EA6">
        <w:rPr>
          <w:b/>
          <w:color w:val="000000" w:themeColor="text1"/>
          <w:sz w:val="28"/>
          <w:szCs w:val="28"/>
          <w:u w:val="single"/>
        </w:rPr>
        <w:t>Proposed Amendments to the Approved Highways and Transport Capital Programmes</w:t>
      </w:r>
    </w:p>
    <w:tbl>
      <w:tblPr>
        <w:tblStyle w:val="TableGrid"/>
        <w:tblW w:w="22397" w:type="dxa"/>
        <w:tblInd w:w="-572" w:type="dxa"/>
        <w:tblLayout w:type="fixed"/>
        <w:tblLook w:val="04A0"/>
      </w:tblPr>
      <w:tblGrid>
        <w:gridCol w:w="567"/>
        <w:gridCol w:w="1843"/>
        <w:gridCol w:w="1985"/>
        <w:gridCol w:w="12190"/>
        <w:gridCol w:w="1418"/>
        <w:gridCol w:w="1559"/>
        <w:gridCol w:w="1134"/>
        <w:gridCol w:w="1701"/>
      </w:tblGrid>
      <w:tr w:rsidTr="00E0131D">
        <w:tblPrEx>
          <w:tblW w:w="22397" w:type="dxa"/>
          <w:tblInd w:w="-572" w:type="dxa"/>
          <w:tblLayout w:type="fixed"/>
          <w:tblLook w:val="04A0"/>
        </w:tblPrEx>
        <w:trPr>
          <w:trHeight w:val="455"/>
        </w:trPr>
        <w:tc>
          <w:tcPr>
            <w:tcW w:w="22397" w:type="dxa"/>
            <w:gridSpan w:val="8"/>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Project Details</w:t>
            </w:r>
          </w:p>
        </w:tc>
      </w:tr>
      <w:tr w:rsidTr="00FA178C">
        <w:tblPrEx>
          <w:tblW w:w="22397" w:type="dxa"/>
          <w:tblInd w:w="-572" w:type="dxa"/>
          <w:tblLayout w:type="fixed"/>
          <w:tblLook w:val="04A0"/>
        </w:tblPrEx>
        <w:trPr>
          <w:trHeight w:val="985"/>
        </w:trPr>
        <w:tc>
          <w:tcPr>
            <w:tcW w:w="567"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No</w:t>
            </w:r>
          </w:p>
        </w:tc>
        <w:tc>
          <w:tcPr>
            <w:tcW w:w="1843"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Scheme Name</w:t>
            </w:r>
          </w:p>
        </w:tc>
        <w:tc>
          <w:tcPr>
            <w:tcW w:w="1985"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E0131D" w:rsidRPr="00F67EA6" w:rsidP="00E0131D">
            <w:pPr>
              <w:jc w:val="center"/>
              <w:rPr>
                <w:b/>
                <w:color w:val="000000" w:themeColor="text1"/>
                <w:sz w:val="24"/>
                <w:szCs w:val="24"/>
              </w:rPr>
            </w:pPr>
            <w:r w:rsidRPr="00F67EA6">
              <w:rPr>
                <w:b/>
                <w:color w:val="000000" w:themeColor="text1"/>
                <w:sz w:val="24"/>
                <w:szCs w:val="24"/>
              </w:rPr>
              <w:t>Proposed Scheme Allocation</w:t>
            </w:r>
          </w:p>
        </w:tc>
      </w:tr>
      <w:tr w:rsidTr="00FA178C">
        <w:tblPrEx>
          <w:tblW w:w="22397" w:type="dxa"/>
          <w:tblInd w:w="-572" w:type="dxa"/>
          <w:tblLayout w:type="fixed"/>
          <w:tblLook w:val="04A0"/>
        </w:tblPrEx>
        <w:trPr>
          <w:trHeight w:val="416"/>
        </w:trPr>
        <w:tc>
          <w:tcPr>
            <w:tcW w:w="567" w:type="dxa"/>
            <w:shd w:val="clear" w:color="auto" w:fill="auto"/>
          </w:tcPr>
          <w:p w:rsidR="00015D73" w:rsidRPr="00184591" w:rsidP="00011283">
            <w:pPr>
              <w:rPr>
                <w:color w:val="000000" w:themeColor="text1"/>
                <w:sz w:val="24"/>
                <w:szCs w:val="24"/>
              </w:rPr>
            </w:pPr>
          </w:p>
        </w:tc>
        <w:tc>
          <w:tcPr>
            <w:tcW w:w="1843" w:type="dxa"/>
            <w:shd w:val="clear" w:color="auto" w:fill="auto"/>
          </w:tcPr>
          <w:p w:rsidR="00015D73" w:rsidRPr="00184591" w:rsidP="00011283">
            <w:pPr>
              <w:rPr>
                <w:color w:val="000000" w:themeColor="text1"/>
                <w:sz w:val="24"/>
                <w:szCs w:val="24"/>
              </w:rPr>
            </w:pPr>
          </w:p>
        </w:tc>
        <w:tc>
          <w:tcPr>
            <w:tcW w:w="1985" w:type="dxa"/>
            <w:shd w:val="clear" w:color="auto" w:fill="auto"/>
          </w:tcPr>
          <w:p w:rsidR="00015D73" w:rsidRPr="00184591" w:rsidP="00011283">
            <w:pPr>
              <w:rPr>
                <w:color w:val="000000" w:themeColor="text1"/>
                <w:sz w:val="24"/>
                <w:szCs w:val="24"/>
                <w:highlight w:val="yellow"/>
              </w:rPr>
            </w:pPr>
          </w:p>
        </w:tc>
        <w:tc>
          <w:tcPr>
            <w:tcW w:w="18002" w:type="dxa"/>
            <w:gridSpan w:val="5"/>
            <w:shd w:val="clear" w:color="auto" w:fill="auto"/>
            <w:vAlign w:val="center"/>
          </w:tcPr>
          <w:p w:rsidR="00015D73" w:rsidRPr="00184591" w:rsidP="00753D3F">
            <w:pPr>
              <w:rPr>
                <w:b/>
                <w:color w:val="000000" w:themeColor="text1"/>
                <w:sz w:val="24"/>
                <w:szCs w:val="24"/>
              </w:rPr>
            </w:pPr>
            <w:r>
              <w:rPr>
                <w:b/>
                <w:color w:val="000000" w:themeColor="text1"/>
                <w:sz w:val="24"/>
                <w:szCs w:val="24"/>
              </w:rPr>
              <w:t xml:space="preserve">New </w:t>
            </w:r>
            <w:r>
              <w:rPr>
                <w:b/>
                <w:color w:val="000000" w:themeColor="text1"/>
                <w:sz w:val="24"/>
                <w:szCs w:val="24"/>
              </w:rPr>
              <w:t>Start 2013/14 Road Safety</w:t>
            </w:r>
          </w:p>
        </w:tc>
      </w:tr>
      <w:tr w:rsidTr="00813470">
        <w:tblPrEx>
          <w:tblW w:w="22397" w:type="dxa"/>
          <w:tblInd w:w="-572" w:type="dxa"/>
          <w:tblLayout w:type="fixed"/>
          <w:tblLook w:val="04A0"/>
        </w:tblPrEx>
        <w:trPr>
          <w:trHeight w:val="1958"/>
        </w:trPr>
        <w:tc>
          <w:tcPr>
            <w:tcW w:w="567" w:type="dxa"/>
            <w:shd w:val="clear" w:color="auto" w:fill="auto"/>
          </w:tcPr>
          <w:p w:rsidR="00015D73" w:rsidRPr="00184591" w:rsidP="00011283">
            <w:pPr>
              <w:rPr>
                <w:color w:val="000000" w:themeColor="text1"/>
                <w:sz w:val="24"/>
                <w:szCs w:val="24"/>
              </w:rPr>
            </w:pPr>
            <w:r>
              <w:rPr>
                <w:color w:val="000000" w:themeColor="text1"/>
                <w:sz w:val="24"/>
                <w:szCs w:val="24"/>
              </w:rPr>
              <w:t>1.</w:t>
            </w:r>
          </w:p>
        </w:tc>
        <w:tc>
          <w:tcPr>
            <w:tcW w:w="1843" w:type="dxa"/>
            <w:shd w:val="clear" w:color="auto" w:fill="auto"/>
          </w:tcPr>
          <w:p w:rsidR="00015D73" w:rsidRPr="00753D3F" w:rsidP="00753D3F">
            <w:pPr>
              <w:rPr>
                <w:color w:val="000000" w:themeColor="text1"/>
                <w:sz w:val="24"/>
                <w:szCs w:val="24"/>
              </w:rPr>
            </w:pPr>
            <w:r w:rsidRPr="00753D3F">
              <w:rPr>
                <w:rFonts w:cs="Arial"/>
                <w:sz w:val="24"/>
                <w:szCs w:val="24"/>
              </w:rPr>
              <w:t>A56 Skipton Road/</w:t>
            </w:r>
            <w:r>
              <w:rPr>
                <w:rFonts w:cs="Arial"/>
                <w:sz w:val="24"/>
                <w:szCs w:val="24"/>
              </w:rPr>
              <w:t>M</w:t>
            </w:r>
            <w:r w:rsidRPr="00753D3F">
              <w:rPr>
                <w:rFonts w:cs="Arial"/>
                <w:sz w:val="24"/>
                <w:szCs w:val="24"/>
              </w:rPr>
              <w:t>arket Street/</w:t>
            </w:r>
            <w:r>
              <w:rPr>
                <w:rFonts w:cs="Arial"/>
                <w:sz w:val="24"/>
                <w:szCs w:val="24"/>
              </w:rPr>
              <w:t>K</w:t>
            </w:r>
            <w:r w:rsidRPr="00753D3F">
              <w:rPr>
                <w:rFonts w:cs="Arial"/>
                <w:sz w:val="24"/>
                <w:szCs w:val="24"/>
              </w:rPr>
              <w:t>eighley Road</w:t>
            </w:r>
          </w:p>
        </w:tc>
        <w:tc>
          <w:tcPr>
            <w:tcW w:w="1985" w:type="dxa"/>
            <w:shd w:val="clear" w:color="auto" w:fill="auto"/>
          </w:tcPr>
          <w:p w:rsidR="00A54177" w:rsidP="00011283">
            <w:pPr>
              <w:rPr>
                <w:color w:val="000000" w:themeColor="text1"/>
                <w:sz w:val="24"/>
                <w:szCs w:val="24"/>
              </w:rPr>
            </w:pPr>
            <w:r>
              <w:rPr>
                <w:color w:val="000000" w:themeColor="text1"/>
                <w:sz w:val="24"/>
                <w:szCs w:val="24"/>
              </w:rPr>
              <w:t>Pendle Central, Pendle Rural,</w:t>
            </w:r>
          </w:p>
          <w:p w:rsidR="00753D3F" w:rsidRPr="00C65BDA" w:rsidP="00011283">
            <w:pPr>
              <w:rPr>
                <w:color w:val="000000" w:themeColor="text1"/>
                <w:sz w:val="24"/>
                <w:szCs w:val="24"/>
              </w:rPr>
            </w:pPr>
            <w:r>
              <w:rPr>
                <w:color w:val="000000" w:themeColor="text1"/>
                <w:sz w:val="24"/>
                <w:szCs w:val="24"/>
              </w:rPr>
              <w:t>Pendle</w:t>
            </w:r>
          </w:p>
        </w:tc>
        <w:tc>
          <w:tcPr>
            <w:tcW w:w="12190" w:type="dxa"/>
            <w:shd w:val="clear" w:color="auto" w:fill="auto"/>
          </w:tcPr>
          <w:p w:rsidR="00F34D0A" w:rsidRPr="00753D3F" w:rsidP="00813470">
            <w:pPr>
              <w:jc w:val="both"/>
              <w:rPr>
                <w:color w:val="000000" w:themeColor="text1"/>
                <w:sz w:val="24"/>
                <w:szCs w:val="24"/>
              </w:rPr>
            </w:pPr>
            <w:r w:rsidRPr="00BD688A">
              <w:rPr>
                <w:sz w:val="24"/>
                <w:szCs w:val="24"/>
              </w:rPr>
              <w:t xml:space="preserve">This project was allocated £70,461 to provide a new pedestrian crossing on one </w:t>
            </w:r>
            <w:r>
              <w:rPr>
                <w:sz w:val="24"/>
                <w:szCs w:val="24"/>
              </w:rPr>
              <w:t xml:space="preserve">arm </w:t>
            </w:r>
            <w:r w:rsidRPr="00BD688A">
              <w:rPr>
                <w:sz w:val="24"/>
                <w:szCs w:val="24"/>
              </w:rPr>
              <w:t>of this junction. However, detailed design has identified that in order to provide this improvement the existing pedestrian facilities on the other arms of the junction would require upgrade in order to provide consistency and clarity for pedestrians. Thes</w:t>
            </w:r>
            <w:r w:rsidRPr="00BD688A">
              <w:rPr>
                <w:sz w:val="24"/>
                <w:szCs w:val="24"/>
              </w:rPr>
              <w:t xml:space="preserve">e improvements would require a significant increase in budget for the </w:t>
            </w:r>
            <w:r>
              <w:rPr>
                <w:sz w:val="24"/>
                <w:szCs w:val="24"/>
              </w:rPr>
              <w:t>project</w:t>
            </w:r>
            <w:r w:rsidRPr="00BD688A">
              <w:rPr>
                <w:sz w:val="24"/>
                <w:szCs w:val="24"/>
              </w:rPr>
              <w:t xml:space="preserve">. Furthermore, analysis of the most recent 5 year collision history has shown a reduction in collisions. </w:t>
            </w:r>
            <w:r>
              <w:rPr>
                <w:sz w:val="24"/>
                <w:szCs w:val="24"/>
              </w:rPr>
              <w:t xml:space="preserve">Consequently, </w:t>
            </w:r>
            <w:r w:rsidRPr="00BD688A">
              <w:rPr>
                <w:sz w:val="24"/>
                <w:szCs w:val="24"/>
              </w:rPr>
              <w:t xml:space="preserve">a request for additional funding cannot be justified. It is </w:t>
            </w:r>
            <w:r w:rsidRPr="00BD688A">
              <w:rPr>
                <w:sz w:val="24"/>
                <w:szCs w:val="24"/>
              </w:rPr>
              <w:t>therefore proposed that the project is cancelled and the remaining budget</w:t>
            </w:r>
            <w:r>
              <w:rPr>
                <w:sz w:val="24"/>
                <w:szCs w:val="24"/>
              </w:rPr>
              <w:t xml:space="preserve"> released back into the programme.</w:t>
            </w:r>
          </w:p>
        </w:tc>
        <w:tc>
          <w:tcPr>
            <w:tcW w:w="1418" w:type="dxa"/>
            <w:shd w:val="clear" w:color="auto" w:fill="auto"/>
            <w:vAlign w:val="center"/>
          </w:tcPr>
          <w:p w:rsidR="00015D73" w:rsidRPr="00F548A8" w:rsidP="00377B46">
            <w:pPr>
              <w:jc w:val="center"/>
              <w:rPr>
                <w:rFonts w:ascii="Calibri" w:hAnsi="Calibri"/>
                <w:bCs/>
                <w:color w:val="000000"/>
                <w:sz w:val="24"/>
                <w:szCs w:val="24"/>
              </w:rPr>
            </w:pPr>
            <w:r>
              <w:rPr>
                <w:rFonts w:ascii="Calibri" w:hAnsi="Calibri"/>
                <w:bCs/>
                <w:color w:val="000000"/>
                <w:sz w:val="24"/>
                <w:szCs w:val="24"/>
              </w:rPr>
              <w:t>£70,461</w:t>
            </w:r>
          </w:p>
        </w:tc>
        <w:tc>
          <w:tcPr>
            <w:tcW w:w="1559" w:type="dxa"/>
            <w:shd w:val="clear" w:color="auto" w:fill="auto"/>
            <w:vAlign w:val="center"/>
          </w:tcPr>
          <w:p w:rsidR="00015D73" w:rsidRPr="00F548A8" w:rsidP="00377B46">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015D73" w:rsidRPr="00F548A8" w:rsidP="00377B46">
            <w:pPr>
              <w:jc w:val="center"/>
              <w:rPr>
                <w:rFonts w:ascii="Calibri" w:hAnsi="Calibri"/>
                <w:bCs/>
                <w:color w:val="000000"/>
                <w:sz w:val="24"/>
                <w:szCs w:val="24"/>
              </w:rPr>
            </w:pPr>
            <w:r>
              <w:rPr>
                <w:rFonts w:ascii="Calibri" w:hAnsi="Calibri"/>
                <w:bCs/>
                <w:color w:val="000000"/>
                <w:sz w:val="24"/>
                <w:szCs w:val="24"/>
              </w:rPr>
              <w:t>£62,778</w:t>
            </w:r>
          </w:p>
        </w:tc>
        <w:tc>
          <w:tcPr>
            <w:tcW w:w="1701" w:type="dxa"/>
            <w:shd w:val="clear" w:color="auto" w:fill="auto"/>
            <w:vAlign w:val="center"/>
          </w:tcPr>
          <w:p w:rsidR="00015D73" w:rsidRPr="00F548A8" w:rsidP="00377B46">
            <w:pPr>
              <w:jc w:val="center"/>
              <w:rPr>
                <w:rFonts w:ascii="Calibri" w:hAnsi="Calibri"/>
                <w:color w:val="000000"/>
                <w:sz w:val="24"/>
                <w:szCs w:val="24"/>
              </w:rPr>
            </w:pPr>
            <w:r>
              <w:rPr>
                <w:rFonts w:ascii="Calibri" w:hAnsi="Calibri"/>
                <w:color w:val="000000"/>
                <w:sz w:val="24"/>
                <w:szCs w:val="24"/>
              </w:rPr>
              <w:t>£7,683</w:t>
            </w:r>
          </w:p>
        </w:tc>
      </w:tr>
      <w:tr w:rsidTr="006A4B0C">
        <w:tblPrEx>
          <w:tblW w:w="22397" w:type="dxa"/>
          <w:tblInd w:w="-572" w:type="dxa"/>
          <w:tblLayout w:type="fixed"/>
          <w:tblLook w:val="04A0"/>
        </w:tblPrEx>
        <w:trPr>
          <w:trHeight w:val="1560"/>
        </w:trPr>
        <w:tc>
          <w:tcPr>
            <w:tcW w:w="567" w:type="dxa"/>
            <w:shd w:val="clear" w:color="auto" w:fill="auto"/>
          </w:tcPr>
          <w:p w:rsidR="000D4ADB" w:rsidP="00011283">
            <w:pPr>
              <w:rPr>
                <w:color w:val="000000" w:themeColor="text1"/>
                <w:sz w:val="24"/>
                <w:szCs w:val="24"/>
              </w:rPr>
            </w:pPr>
            <w:r>
              <w:rPr>
                <w:color w:val="000000" w:themeColor="text1"/>
                <w:sz w:val="24"/>
                <w:szCs w:val="24"/>
              </w:rPr>
              <w:t>2.</w:t>
            </w:r>
          </w:p>
        </w:tc>
        <w:tc>
          <w:tcPr>
            <w:tcW w:w="1843" w:type="dxa"/>
            <w:shd w:val="clear" w:color="auto" w:fill="auto"/>
          </w:tcPr>
          <w:p w:rsidR="000D4ADB" w:rsidRPr="00753D3F" w:rsidP="00753D3F">
            <w:pPr>
              <w:rPr>
                <w:rFonts w:cs="Arial"/>
                <w:sz w:val="24"/>
                <w:szCs w:val="24"/>
              </w:rPr>
            </w:pPr>
            <w:r w:rsidRPr="000D4ADB">
              <w:rPr>
                <w:color w:val="000000" w:themeColor="text1"/>
                <w:sz w:val="24"/>
                <w:szCs w:val="24"/>
              </w:rPr>
              <w:t xml:space="preserve">Lancaster - Morecambe Greenway to </w:t>
            </w:r>
            <w:r w:rsidRPr="000D4ADB">
              <w:rPr>
                <w:color w:val="000000" w:themeColor="text1"/>
                <w:sz w:val="24"/>
                <w:szCs w:val="24"/>
              </w:rPr>
              <w:t>Morrisons</w:t>
            </w:r>
            <w:r w:rsidRPr="000D4ADB">
              <w:rPr>
                <w:color w:val="000000" w:themeColor="text1"/>
                <w:sz w:val="24"/>
                <w:szCs w:val="24"/>
              </w:rPr>
              <w:t xml:space="preserve"> Retail Park</w:t>
            </w:r>
          </w:p>
        </w:tc>
        <w:tc>
          <w:tcPr>
            <w:tcW w:w="1985" w:type="dxa"/>
            <w:shd w:val="clear" w:color="auto" w:fill="auto"/>
          </w:tcPr>
          <w:p w:rsidR="000D4ADB" w:rsidRPr="00FA178C" w:rsidP="00011283">
            <w:pPr>
              <w:rPr>
                <w:color w:val="000000" w:themeColor="text1"/>
                <w:sz w:val="24"/>
                <w:szCs w:val="24"/>
                <w:highlight w:val="yellow"/>
              </w:rPr>
            </w:pPr>
            <w:r w:rsidRPr="00D90FF3">
              <w:rPr>
                <w:color w:val="000000" w:themeColor="text1"/>
                <w:sz w:val="24"/>
                <w:szCs w:val="24"/>
              </w:rPr>
              <w:t>Morecambe Central, Lancaster</w:t>
            </w:r>
          </w:p>
        </w:tc>
        <w:tc>
          <w:tcPr>
            <w:tcW w:w="12190" w:type="dxa"/>
            <w:shd w:val="clear" w:color="auto" w:fill="auto"/>
          </w:tcPr>
          <w:p w:rsidR="008E57E1" w:rsidRPr="00E63745" w:rsidP="003D5D50">
            <w:pPr>
              <w:jc w:val="both"/>
              <w:rPr>
                <w:color w:val="000000" w:themeColor="text1"/>
                <w:sz w:val="24"/>
                <w:szCs w:val="24"/>
              </w:rPr>
            </w:pPr>
            <w:r w:rsidRPr="008E57E1">
              <w:rPr>
                <w:color w:val="000000" w:themeColor="text1"/>
                <w:sz w:val="24"/>
                <w:szCs w:val="24"/>
              </w:rPr>
              <w:t xml:space="preserve">This </w:t>
            </w:r>
            <w:r>
              <w:rPr>
                <w:color w:val="000000" w:themeColor="text1"/>
                <w:sz w:val="24"/>
                <w:szCs w:val="24"/>
              </w:rPr>
              <w:t>project</w:t>
            </w:r>
            <w:r w:rsidRPr="008E57E1">
              <w:rPr>
                <w:color w:val="000000" w:themeColor="text1"/>
                <w:sz w:val="24"/>
                <w:szCs w:val="24"/>
              </w:rPr>
              <w:t xml:space="preserve"> was allocated £9,069 to create a path </w:t>
            </w:r>
            <w:r>
              <w:rPr>
                <w:color w:val="000000" w:themeColor="text1"/>
                <w:sz w:val="24"/>
                <w:szCs w:val="24"/>
              </w:rPr>
              <w:t>to link</w:t>
            </w:r>
            <w:r w:rsidRPr="008E57E1">
              <w:rPr>
                <w:color w:val="000000" w:themeColor="text1"/>
                <w:sz w:val="24"/>
                <w:szCs w:val="24"/>
              </w:rPr>
              <w:t xml:space="preserve"> the existing cycleway/footpath to t</w:t>
            </w:r>
            <w:r>
              <w:rPr>
                <w:color w:val="000000" w:themeColor="text1"/>
                <w:sz w:val="24"/>
                <w:szCs w:val="24"/>
              </w:rPr>
              <w:t>he nearby retail park. As</w:t>
            </w:r>
            <w:r w:rsidRPr="008E57E1">
              <w:rPr>
                <w:color w:val="000000" w:themeColor="text1"/>
                <w:sz w:val="24"/>
                <w:szCs w:val="24"/>
              </w:rPr>
              <w:t xml:space="preserve"> the land </w:t>
            </w:r>
            <w:r>
              <w:rPr>
                <w:color w:val="000000" w:themeColor="text1"/>
                <w:sz w:val="24"/>
                <w:szCs w:val="24"/>
              </w:rPr>
              <w:t xml:space="preserve">required </w:t>
            </w:r>
            <w:r w:rsidRPr="008E57E1">
              <w:rPr>
                <w:color w:val="000000" w:themeColor="text1"/>
                <w:sz w:val="24"/>
                <w:szCs w:val="24"/>
              </w:rPr>
              <w:t xml:space="preserve">for the </w:t>
            </w:r>
            <w:r>
              <w:rPr>
                <w:color w:val="000000" w:themeColor="text1"/>
                <w:sz w:val="24"/>
                <w:szCs w:val="24"/>
              </w:rPr>
              <w:t>path</w:t>
            </w:r>
            <w:r w:rsidRPr="008E57E1">
              <w:rPr>
                <w:color w:val="000000" w:themeColor="text1"/>
                <w:sz w:val="24"/>
                <w:szCs w:val="24"/>
              </w:rPr>
              <w:t xml:space="preserve"> is not in Lancashire County Council's ownership </w:t>
            </w:r>
            <w:r>
              <w:rPr>
                <w:color w:val="000000" w:themeColor="text1"/>
                <w:sz w:val="24"/>
                <w:szCs w:val="24"/>
              </w:rPr>
              <w:t>efforts have been undertaken over a period of 4 years to</w:t>
            </w:r>
            <w:r w:rsidRPr="008E57E1">
              <w:rPr>
                <w:color w:val="000000" w:themeColor="text1"/>
                <w:sz w:val="24"/>
                <w:szCs w:val="24"/>
              </w:rPr>
              <w:t xml:space="preserve"> </w:t>
            </w:r>
            <w:r>
              <w:rPr>
                <w:rFonts w:cs="Arial"/>
                <w:color w:val="000000" w:themeColor="text1"/>
                <w:sz w:val="24"/>
                <w:szCs w:val="24"/>
              </w:rPr>
              <w:t>obtain a</w:t>
            </w:r>
            <w:r w:rsidRPr="008E57E1">
              <w:rPr>
                <w:rFonts w:cs="Arial"/>
                <w:color w:val="000000" w:themeColor="text1"/>
                <w:sz w:val="24"/>
                <w:szCs w:val="24"/>
              </w:rPr>
              <w:t xml:space="preserve"> leg</w:t>
            </w:r>
            <w:r w:rsidRPr="008E57E1">
              <w:rPr>
                <w:rFonts w:cs="Arial"/>
                <w:color w:val="000000" w:themeColor="text1"/>
                <w:sz w:val="24"/>
                <w:szCs w:val="24"/>
              </w:rPr>
              <w:t>al agreement for the dedication of the land required</w:t>
            </w:r>
            <w:r w:rsidRPr="008E57E1">
              <w:rPr>
                <w:color w:val="000000" w:themeColor="text1"/>
                <w:sz w:val="24"/>
                <w:szCs w:val="24"/>
              </w:rPr>
              <w:t xml:space="preserve">. </w:t>
            </w:r>
            <w:r>
              <w:rPr>
                <w:color w:val="000000" w:themeColor="text1"/>
                <w:sz w:val="24"/>
                <w:szCs w:val="24"/>
              </w:rPr>
              <w:t>As</w:t>
            </w:r>
            <w:r w:rsidRPr="008E57E1">
              <w:rPr>
                <w:color w:val="000000" w:themeColor="text1"/>
                <w:sz w:val="24"/>
                <w:szCs w:val="24"/>
              </w:rPr>
              <w:t xml:space="preserve"> agreement</w:t>
            </w:r>
            <w:r>
              <w:rPr>
                <w:color w:val="000000" w:themeColor="text1"/>
                <w:sz w:val="24"/>
                <w:szCs w:val="24"/>
              </w:rPr>
              <w:t xml:space="preserve"> cannot be reached </w:t>
            </w:r>
            <w:r w:rsidRPr="008E57E1">
              <w:rPr>
                <w:color w:val="000000" w:themeColor="text1"/>
                <w:sz w:val="24"/>
                <w:szCs w:val="24"/>
              </w:rPr>
              <w:t xml:space="preserve">with the retail owners it is proposed that the </w:t>
            </w:r>
            <w:r>
              <w:rPr>
                <w:color w:val="000000" w:themeColor="text1"/>
                <w:sz w:val="24"/>
                <w:szCs w:val="24"/>
              </w:rPr>
              <w:t>project</w:t>
            </w:r>
            <w:r w:rsidRPr="008E57E1">
              <w:rPr>
                <w:color w:val="000000" w:themeColor="text1"/>
                <w:sz w:val="24"/>
                <w:szCs w:val="24"/>
              </w:rPr>
              <w:t xml:space="preserve"> is cancelled and the remaining budget is </w:t>
            </w:r>
            <w:r>
              <w:rPr>
                <w:color w:val="000000" w:themeColor="text1"/>
                <w:sz w:val="24"/>
                <w:szCs w:val="24"/>
              </w:rPr>
              <w:t>released back into the programme.</w:t>
            </w:r>
          </w:p>
        </w:tc>
        <w:tc>
          <w:tcPr>
            <w:tcW w:w="1418" w:type="dxa"/>
            <w:shd w:val="clear" w:color="auto" w:fill="auto"/>
            <w:vAlign w:val="center"/>
          </w:tcPr>
          <w:p w:rsidR="000D4ADB" w:rsidP="00377B46">
            <w:pPr>
              <w:jc w:val="center"/>
              <w:rPr>
                <w:rFonts w:ascii="Calibri" w:hAnsi="Calibri"/>
                <w:bCs/>
                <w:color w:val="000000"/>
                <w:sz w:val="24"/>
                <w:szCs w:val="24"/>
              </w:rPr>
            </w:pPr>
            <w:r>
              <w:rPr>
                <w:rFonts w:ascii="Calibri" w:hAnsi="Calibri"/>
                <w:bCs/>
                <w:color w:val="000000"/>
                <w:sz w:val="24"/>
                <w:szCs w:val="24"/>
              </w:rPr>
              <w:t>£9,069</w:t>
            </w:r>
          </w:p>
        </w:tc>
        <w:tc>
          <w:tcPr>
            <w:tcW w:w="1559" w:type="dxa"/>
            <w:shd w:val="clear" w:color="auto" w:fill="auto"/>
            <w:vAlign w:val="center"/>
          </w:tcPr>
          <w:p w:rsidR="000D4ADB" w:rsidP="00377B46">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0D4ADB" w:rsidP="00377B46">
            <w:pPr>
              <w:jc w:val="center"/>
              <w:rPr>
                <w:rFonts w:ascii="Calibri" w:hAnsi="Calibri"/>
                <w:bCs/>
                <w:color w:val="000000"/>
                <w:sz w:val="24"/>
                <w:szCs w:val="24"/>
              </w:rPr>
            </w:pPr>
            <w:r>
              <w:rPr>
                <w:rFonts w:ascii="Calibri" w:hAnsi="Calibri"/>
                <w:bCs/>
                <w:color w:val="000000"/>
                <w:sz w:val="24"/>
                <w:szCs w:val="24"/>
              </w:rPr>
              <w:t>£3,270</w:t>
            </w:r>
          </w:p>
        </w:tc>
        <w:tc>
          <w:tcPr>
            <w:tcW w:w="1701" w:type="dxa"/>
            <w:shd w:val="clear" w:color="auto" w:fill="auto"/>
            <w:vAlign w:val="center"/>
          </w:tcPr>
          <w:p w:rsidR="000D4ADB" w:rsidP="00377B46">
            <w:pPr>
              <w:jc w:val="center"/>
              <w:rPr>
                <w:rFonts w:ascii="Calibri" w:hAnsi="Calibri"/>
                <w:color w:val="000000"/>
                <w:sz w:val="24"/>
                <w:szCs w:val="24"/>
              </w:rPr>
            </w:pPr>
            <w:r>
              <w:rPr>
                <w:rFonts w:ascii="Calibri" w:hAnsi="Calibri"/>
                <w:color w:val="000000"/>
                <w:sz w:val="24"/>
                <w:szCs w:val="24"/>
              </w:rPr>
              <w:t>£5,799</w:t>
            </w:r>
          </w:p>
        </w:tc>
      </w:tr>
      <w:tr w:rsidTr="00FA178C">
        <w:tblPrEx>
          <w:tblW w:w="22397" w:type="dxa"/>
          <w:tblInd w:w="-572" w:type="dxa"/>
          <w:tblLayout w:type="fixed"/>
          <w:tblLook w:val="04A0"/>
        </w:tblPrEx>
        <w:trPr>
          <w:trHeight w:val="416"/>
        </w:trPr>
        <w:tc>
          <w:tcPr>
            <w:tcW w:w="567" w:type="dxa"/>
            <w:shd w:val="clear" w:color="auto" w:fill="auto"/>
          </w:tcPr>
          <w:p w:rsidR="00753D3F" w:rsidRPr="00184591" w:rsidP="00753D3F">
            <w:pPr>
              <w:rPr>
                <w:color w:val="000000" w:themeColor="text1"/>
                <w:sz w:val="24"/>
                <w:szCs w:val="24"/>
              </w:rPr>
            </w:pPr>
          </w:p>
        </w:tc>
        <w:tc>
          <w:tcPr>
            <w:tcW w:w="1843" w:type="dxa"/>
            <w:shd w:val="clear" w:color="auto" w:fill="auto"/>
          </w:tcPr>
          <w:p w:rsidR="00753D3F" w:rsidRPr="00184591" w:rsidP="00753D3F">
            <w:pPr>
              <w:rPr>
                <w:color w:val="000000" w:themeColor="text1"/>
                <w:sz w:val="24"/>
                <w:szCs w:val="24"/>
              </w:rPr>
            </w:pPr>
          </w:p>
        </w:tc>
        <w:tc>
          <w:tcPr>
            <w:tcW w:w="1985" w:type="dxa"/>
            <w:shd w:val="clear" w:color="auto" w:fill="auto"/>
          </w:tcPr>
          <w:p w:rsidR="00753D3F" w:rsidRPr="00184591" w:rsidP="00753D3F">
            <w:pPr>
              <w:rPr>
                <w:color w:val="000000" w:themeColor="text1"/>
                <w:sz w:val="24"/>
                <w:szCs w:val="24"/>
                <w:highlight w:val="yellow"/>
              </w:rPr>
            </w:pPr>
          </w:p>
        </w:tc>
        <w:tc>
          <w:tcPr>
            <w:tcW w:w="12190" w:type="dxa"/>
            <w:shd w:val="clear" w:color="auto" w:fill="auto"/>
            <w:vAlign w:val="center"/>
          </w:tcPr>
          <w:p w:rsidR="00753D3F" w:rsidRPr="00184591" w:rsidP="00753D3F">
            <w:pPr>
              <w:jc w:val="right"/>
              <w:rPr>
                <w:b/>
                <w:color w:val="000000" w:themeColor="text1"/>
                <w:sz w:val="24"/>
                <w:szCs w:val="24"/>
              </w:rPr>
            </w:pPr>
            <w:r>
              <w:rPr>
                <w:b/>
                <w:color w:val="000000" w:themeColor="text1"/>
                <w:sz w:val="24"/>
                <w:szCs w:val="24"/>
              </w:rPr>
              <w:t xml:space="preserve">Revised New Start 2013/14 Road Safety </w:t>
            </w:r>
          </w:p>
        </w:tc>
        <w:tc>
          <w:tcPr>
            <w:tcW w:w="1418" w:type="dxa"/>
            <w:shd w:val="clear" w:color="auto" w:fill="auto"/>
            <w:vAlign w:val="center"/>
          </w:tcPr>
          <w:p w:rsidR="00753D3F" w:rsidRPr="00753D3F" w:rsidP="00377B46">
            <w:pPr>
              <w:jc w:val="center"/>
              <w:rPr>
                <w:rFonts w:ascii="Calibri" w:hAnsi="Calibri"/>
                <w:b/>
                <w:bCs/>
                <w:color w:val="000000"/>
                <w:sz w:val="24"/>
                <w:szCs w:val="24"/>
              </w:rPr>
            </w:pPr>
            <w:r>
              <w:rPr>
                <w:rFonts w:ascii="Calibri" w:hAnsi="Calibri"/>
                <w:b/>
                <w:bCs/>
                <w:color w:val="000000"/>
                <w:sz w:val="24"/>
                <w:szCs w:val="24"/>
              </w:rPr>
              <w:t>£79,530</w:t>
            </w:r>
          </w:p>
        </w:tc>
        <w:tc>
          <w:tcPr>
            <w:tcW w:w="1559" w:type="dxa"/>
            <w:shd w:val="clear" w:color="auto" w:fill="auto"/>
            <w:vAlign w:val="center"/>
          </w:tcPr>
          <w:p w:rsidR="00753D3F" w:rsidRPr="00753D3F" w:rsidP="00377B46">
            <w:pPr>
              <w:jc w:val="center"/>
              <w:rPr>
                <w:b/>
                <w:color w:val="000000" w:themeColor="text1"/>
                <w:sz w:val="24"/>
                <w:szCs w:val="24"/>
              </w:rPr>
            </w:pPr>
            <w:r>
              <w:rPr>
                <w:b/>
                <w:color w:val="000000" w:themeColor="text1"/>
                <w:sz w:val="24"/>
                <w:szCs w:val="24"/>
              </w:rPr>
              <w:t>£0</w:t>
            </w:r>
          </w:p>
        </w:tc>
        <w:tc>
          <w:tcPr>
            <w:tcW w:w="1134" w:type="dxa"/>
            <w:shd w:val="clear" w:color="auto" w:fill="auto"/>
            <w:vAlign w:val="center"/>
          </w:tcPr>
          <w:p w:rsidR="00753D3F" w:rsidRPr="00753D3F" w:rsidP="00377B46">
            <w:pPr>
              <w:jc w:val="center"/>
              <w:rPr>
                <w:rFonts w:ascii="Calibri" w:hAnsi="Calibri"/>
                <w:b/>
                <w:bCs/>
                <w:color w:val="000000"/>
                <w:sz w:val="24"/>
                <w:szCs w:val="24"/>
              </w:rPr>
            </w:pPr>
            <w:r>
              <w:rPr>
                <w:rFonts w:ascii="Calibri" w:hAnsi="Calibri"/>
                <w:b/>
                <w:bCs/>
                <w:color w:val="000000"/>
                <w:sz w:val="24"/>
                <w:szCs w:val="24"/>
              </w:rPr>
              <w:t>£66,048</w:t>
            </w:r>
          </w:p>
        </w:tc>
        <w:tc>
          <w:tcPr>
            <w:tcW w:w="1701" w:type="dxa"/>
            <w:shd w:val="clear" w:color="auto" w:fill="auto"/>
            <w:vAlign w:val="center"/>
          </w:tcPr>
          <w:p w:rsidR="00753D3F" w:rsidRPr="00753D3F" w:rsidP="00377B46">
            <w:pPr>
              <w:jc w:val="center"/>
              <w:rPr>
                <w:rFonts w:ascii="Calibri" w:hAnsi="Calibri"/>
                <w:b/>
                <w:color w:val="000000"/>
                <w:sz w:val="24"/>
                <w:szCs w:val="24"/>
              </w:rPr>
            </w:pPr>
            <w:r>
              <w:rPr>
                <w:rFonts w:ascii="Calibri" w:hAnsi="Calibri"/>
                <w:b/>
                <w:color w:val="000000"/>
                <w:sz w:val="24"/>
                <w:szCs w:val="24"/>
              </w:rPr>
              <w:t>£13,482</w:t>
            </w:r>
          </w:p>
        </w:tc>
      </w:tr>
      <w:tr w:rsidTr="005C3311">
        <w:tblPrEx>
          <w:tblW w:w="22397" w:type="dxa"/>
          <w:tblInd w:w="-572" w:type="dxa"/>
          <w:tblLayout w:type="fixed"/>
          <w:tblLook w:val="04A0"/>
        </w:tblPrEx>
        <w:trPr>
          <w:trHeight w:val="416"/>
        </w:trPr>
        <w:tc>
          <w:tcPr>
            <w:tcW w:w="567" w:type="dxa"/>
            <w:shd w:val="clear" w:color="auto" w:fill="auto"/>
          </w:tcPr>
          <w:p w:rsidR="00813470" w:rsidRPr="00184591" w:rsidP="00753D3F">
            <w:pPr>
              <w:rPr>
                <w:color w:val="000000" w:themeColor="text1"/>
                <w:sz w:val="24"/>
                <w:szCs w:val="24"/>
              </w:rPr>
            </w:pPr>
          </w:p>
        </w:tc>
        <w:tc>
          <w:tcPr>
            <w:tcW w:w="1843" w:type="dxa"/>
            <w:shd w:val="clear" w:color="auto" w:fill="auto"/>
          </w:tcPr>
          <w:p w:rsidR="00813470" w:rsidRPr="00184591" w:rsidP="00753D3F">
            <w:pPr>
              <w:rPr>
                <w:color w:val="000000" w:themeColor="text1"/>
                <w:sz w:val="24"/>
                <w:szCs w:val="24"/>
              </w:rPr>
            </w:pPr>
          </w:p>
        </w:tc>
        <w:tc>
          <w:tcPr>
            <w:tcW w:w="1985" w:type="dxa"/>
            <w:shd w:val="clear" w:color="auto" w:fill="auto"/>
          </w:tcPr>
          <w:p w:rsidR="00813470" w:rsidRPr="00184591" w:rsidP="00753D3F">
            <w:pPr>
              <w:rPr>
                <w:color w:val="000000" w:themeColor="text1"/>
                <w:sz w:val="24"/>
                <w:szCs w:val="24"/>
                <w:highlight w:val="yellow"/>
              </w:rPr>
            </w:pPr>
          </w:p>
        </w:tc>
        <w:tc>
          <w:tcPr>
            <w:tcW w:w="18002" w:type="dxa"/>
            <w:gridSpan w:val="5"/>
            <w:shd w:val="clear" w:color="auto" w:fill="auto"/>
            <w:vAlign w:val="center"/>
          </w:tcPr>
          <w:p w:rsidR="00813470" w:rsidP="00813470">
            <w:pPr>
              <w:rPr>
                <w:rFonts w:ascii="Calibri" w:hAnsi="Calibri"/>
                <w:b/>
                <w:color w:val="000000"/>
                <w:sz w:val="24"/>
                <w:szCs w:val="24"/>
              </w:rPr>
            </w:pPr>
            <w:r>
              <w:rPr>
                <w:b/>
                <w:color w:val="000000" w:themeColor="text1"/>
                <w:sz w:val="24"/>
                <w:szCs w:val="24"/>
              </w:rPr>
              <w:t>New Start 2015/16 Road Safety</w:t>
            </w:r>
          </w:p>
        </w:tc>
      </w:tr>
      <w:tr w:rsidTr="006A4B0C">
        <w:tblPrEx>
          <w:tblW w:w="22397" w:type="dxa"/>
          <w:tblInd w:w="-572" w:type="dxa"/>
          <w:tblLayout w:type="fixed"/>
          <w:tblLook w:val="04A0"/>
        </w:tblPrEx>
        <w:trPr>
          <w:trHeight w:val="970"/>
        </w:trPr>
        <w:tc>
          <w:tcPr>
            <w:tcW w:w="567" w:type="dxa"/>
            <w:shd w:val="clear" w:color="auto" w:fill="auto"/>
          </w:tcPr>
          <w:p w:rsidR="00122C82" w:rsidRPr="00184591" w:rsidP="00753D3F">
            <w:pPr>
              <w:rPr>
                <w:color w:val="000000" w:themeColor="text1"/>
                <w:sz w:val="24"/>
                <w:szCs w:val="24"/>
              </w:rPr>
            </w:pPr>
            <w:r>
              <w:rPr>
                <w:color w:val="000000" w:themeColor="text1"/>
                <w:sz w:val="24"/>
                <w:szCs w:val="24"/>
              </w:rPr>
              <w:t>3.</w:t>
            </w:r>
          </w:p>
        </w:tc>
        <w:tc>
          <w:tcPr>
            <w:tcW w:w="1843" w:type="dxa"/>
            <w:shd w:val="clear" w:color="auto" w:fill="auto"/>
          </w:tcPr>
          <w:p w:rsidR="00122C82" w:rsidRPr="00184591" w:rsidP="00753D3F">
            <w:pPr>
              <w:rPr>
                <w:color w:val="000000" w:themeColor="text1"/>
                <w:sz w:val="24"/>
                <w:szCs w:val="24"/>
              </w:rPr>
            </w:pPr>
            <w:r>
              <w:rPr>
                <w:color w:val="000000" w:themeColor="text1"/>
                <w:sz w:val="24"/>
                <w:szCs w:val="24"/>
              </w:rPr>
              <w:t>Mellor Lane and Mellor Brow</w:t>
            </w:r>
          </w:p>
        </w:tc>
        <w:tc>
          <w:tcPr>
            <w:tcW w:w="1985" w:type="dxa"/>
            <w:shd w:val="clear" w:color="auto" w:fill="auto"/>
          </w:tcPr>
          <w:p w:rsidR="00122C82" w:rsidRPr="00184591" w:rsidP="00753D3F">
            <w:pPr>
              <w:rPr>
                <w:color w:val="000000" w:themeColor="text1"/>
                <w:sz w:val="24"/>
                <w:szCs w:val="24"/>
                <w:highlight w:val="yellow"/>
              </w:rPr>
            </w:pPr>
            <w:r w:rsidRPr="005A00C6">
              <w:rPr>
                <w:color w:val="000000" w:themeColor="text1"/>
                <w:sz w:val="24"/>
                <w:szCs w:val="24"/>
              </w:rPr>
              <w:t>Ribble Valley South West, Ribble Valley</w:t>
            </w:r>
          </w:p>
        </w:tc>
        <w:tc>
          <w:tcPr>
            <w:tcW w:w="12190" w:type="dxa"/>
            <w:shd w:val="clear" w:color="auto" w:fill="auto"/>
            <w:vAlign w:val="center"/>
          </w:tcPr>
          <w:p w:rsidR="00122C82" w:rsidRPr="006A4B0C" w:rsidP="006A4B0C">
            <w:pPr>
              <w:jc w:val="both"/>
              <w:rPr>
                <w:bCs/>
                <w:color w:val="000000" w:themeColor="text1"/>
                <w:sz w:val="24"/>
                <w:szCs w:val="24"/>
              </w:rPr>
            </w:pPr>
            <w:r>
              <w:rPr>
                <w:bCs/>
                <w:color w:val="000000" w:themeColor="text1"/>
                <w:sz w:val="24"/>
                <w:szCs w:val="24"/>
              </w:rPr>
              <w:t xml:space="preserve">This project was allocated £32,000. However, the works have been completed and </w:t>
            </w:r>
            <w:r>
              <w:rPr>
                <w:bCs/>
                <w:color w:val="000000" w:themeColor="text1"/>
                <w:sz w:val="24"/>
                <w:szCs w:val="24"/>
              </w:rPr>
              <w:t>efficiencies realised with actual costs less at £22,603. It is therefore proposed to reduce the allocation to £22,603 and release the remaining funding back into the programme.</w:t>
            </w:r>
          </w:p>
        </w:tc>
        <w:tc>
          <w:tcPr>
            <w:tcW w:w="1418" w:type="dxa"/>
            <w:shd w:val="clear" w:color="auto" w:fill="auto"/>
            <w:vAlign w:val="center"/>
          </w:tcPr>
          <w:p w:rsidR="00122C82" w:rsidRPr="00B702FF" w:rsidP="00377B46">
            <w:pPr>
              <w:jc w:val="center"/>
              <w:rPr>
                <w:rFonts w:ascii="Calibri" w:hAnsi="Calibri"/>
                <w:bCs/>
                <w:color w:val="000000"/>
                <w:sz w:val="24"/>
                <w:szCs w:val="24"/>
              </w:rPr>
            </w:pPr>
            <w:r w:rsidRPr="00B702FF">
              <w:rPr>
                <w:rFonts w:ascii="Calibri" w:hAnsi="Calibri"/>
                <w:bCs/>
                <w:color w:val="000000"/>
                <w:sz w:val="24"/>
                <w:szCs w:val="24"/>
              </w:rPr>
              <w:t>£32,000</w:t>
            </w:r>
          </w:p>
        </w:tc>
        <w:tc>
          <w:tcPr>
            <w:tcW w:w="1559" w:type="dxa"/>
            <w:shd w:val="clear" w:color="auto" w:fill="auto"/>
            <w:vAlign w:val="center"/>
          </w:tcPr>
          <w:p w:rsidR="00122C82" w:rsidRPr="00B702FF" w:rsidP="00377B46">
            <w:pPr>
              <w:jc w:val="center"/>
              <w:rPr>
                <w:color w:val="000000" w:themeColor="text1"/>
                <w:sz w:val="24"/>
                <w:szCs w:val="24"/>
              </w:rPr>
            </w:pPr>
            <w:r w:rsidRPr="00B702FF">
              <w:rPr>
                <w:color w:val="000000" w:themeColor="text1"/>
                <w:sz w:val="24"/>
                <w:szCs w:val="24"/>
              </w:rPr>
              <w:t>£0</w:t>
            </w:r>
          </w:p>
        </w:tc>
        <w:tc>
          <w:tcPr>
            <w:tcW w:w="1134" w:type="dxa"/>
            <w:shd w:val="clear" w:color="auto" w:fill="auto"/>
            <w:vAlign w:val="center"/>
          </w:tcPr>
          <w:p w:rsidR="00122C82" w:rsidRPr="00B702FF" w:rsidP="00377B46">
            <w:pPr>
              <w:jc w:val="center"/>
              <w:rPr>
                <w:rFonts w:ascii="Calibri" w:hAnsi="Calibri"/>
                <w:bCs/>
                <w:color w:val="000000"/>
                <w:sz w:val="24"/>
                <w:szCs w:val="24"/>
              </w:rPr>
            </w:pPr>
            <w:r w:rsidRPr="00B702FF">
              <w:rPr>
                <w:rFonts w:ascii="Calibri" w:hAnsi="Calibri"/>
                <w:bCs/>
                <w:color w:val="000000"/>
                <w:sz w:val="24"/>
                <w:szCs w:val="24"/>
              </w:rPr>
              <w:t>£9,397</w:t>
            </w:r>
          </w:p>
        </w:tc>
        <w:tc>
          <w:tcPr>
            <w:tcW w:w="1701" w:type="dxa"/>
            <w:shd w:val="clear" w:color="auto" w:fill="auto"/>
            <w:vAlign w:val="center"/>
          </w:tcPr>
          <w:p w:rsidR="00122C82" w:rsidRPr="00B702FF" w:rsidP="00377B46">
            <w:pPr>
              <w:jc w:val="center"/>
              <w:rPr>
                <w:rFonts w:ascii="Calibri" w:hAnsi="Calibri"/>
                <w:color w:val="000000"/>
                <w:sz w:val="24"/>
                <w:szCs w:val="24"/>
              </w:rPr>
            </w:pPr>
            <w:r w:rsidRPr="00B702FF">
              <w:rPr>
                <w:rFonts w:ascii="Calibri" w:hAnsi="Calibri"/>
                <w:color w:val="000000"/>
                <w:sz w:val="24"/>
                <w:szCs w:val="24"/>
              </w:rPr>
              <w:t>£22,603</w:t>
            </w:r>
          </w:p>
        </w:tc>
      </w:tr>
      <w:tr w:rsidTr="00FA178C">
        <w:tblPrEx>
          <w:tblW w:w="22397" w:type="dxa"/>
          <w:tblInd w:w="-572" w:type="dxa"/>
          <w:tblLayout w:type="fixed"/>
          <w:tblLook w:val="04A0"/>
        </w:tblPrEx>
        <w:trPr>
          <w:trHeight w:val="416"/>
        </w:trPr>
        <w:tc>
          <w:tcPr>
            <w:tcW w:w="567" w:type="dxa"/>
            <w:shd w:val="clear" w:color="auto" w:fill="auto"/>
          </w:tcPr>
          <w:p w:rsidR="00B702FF" w:rsidRPr="00184591" w:rsidP="00B702FF">
            <w:pPr>
              <w:rPr>
                <w:color w:val="000000" w:themeColor="text1"/>
                <w:sz w:val="24"/>
                <w:szCs w:val="24"/>
              </w:rPr>
            </w:pPr>
          </w:p>
        </w:tc>
        <w:tc>
          <w:tcPr>
            <w:tcW w:w="1843" w:type="dxa"/>
            <w:shd w:val="clear" w:color="auto" w:fill="auto"/>
          </w:tcPr>
          <w:p w:rsidR="00B702FF" w:rsidRPr="00184591" w:rsidP="00B702FF">
            <w:pPr>
              <w:rPr>
                <w:color w:val="000000" w:themeColor="text1"/>
                <w:sz w:val="24"/>
                <w:szCs w:val="24"/>
              </w:rPr>
            </w:pPr>
          </w:p>
        </w:tc>
        <w:tc>
          <w:tcPr>
            <w:tcW w:w="1985" w:type="dxa"/>
            <w:shd w:val="clear" w:color="auto" w:fill="auto"/>
          </w:tcPr>
          <w:p w:rsidR="00B702FF" w:rsidRPr="00184591" w:rsidP="00B702FF">
            <w:pPr>
              <w:rPr>
                <w:color w:val="000000" w:themeColor="text1"/>
                <w:sz w:val="24"/>
                <w:szCs w:val="24"/>
                <w:highlight w:val="yellow"/>
              </w:rPr>
            </w:pPr>
          </w:p>
        </w:tc>
        <w:tc>
          <w:tcPr>
            <w:tcW w:w="12190" w:type="dxa"/>
            <w:shd w:val="clear" w:color="auto" w:fill="auto"/>
            <w:vAlign w:val="center"/>
          </w:tcPr>
          <w:p w:rsidR="00B702FF" w:rsidP="00B702FF">
            <w:pPr>
              <w:jc w:val="right"/>
              <w:rPr>
                <w:b/>
                <w:color w:val="000000" w:themeColor="text1"/>
                <w:sz w:val="24"/>
                <w:szCs w:val="24"/>
              </w:rPr>
            </w:pPr>
            <w:r>
              <w:rPr>
                <w:b/>
                <w:color w:val="000000" w:themeColor="text1"/>
                <w:sz w:val="24"/>
                <w:szCs w:val="24"/>
              </w:rPr>
              <w:t>Revised New Start 2015/16 Road Safety</w:t>
            </w:r>
          </w:p>
        </w:tc>
        <w:tc>
          <w:tcPr>
            <w:tcW w:w="1418" w:type="dxa"/>
            <w:shd w:val="clear" w:color="auto" w:fill="auto"/>
            <w:vAlign w:val="center"/>
          </w:tcPr>
          <w:p w:rsidR="00B702FF" w:rsidP="00377B46">
            <w:pPr>
              <w:jc w:val="center"/>
              <w:rPr>
                <w:rFonts w:ascii="Calibri" w:hAnsi="Calibri"/>
                <w:b/>
                <w:bCs/>
                <w:color w:val="000000"/>
                <w:sz w:val="24"/>
                <w:szCs w:val="24"/>
              </w:rPr>
            </w:pPr>
            <w:r>
              <w:rPr>
                <w:rFonts w:ascii="Calibri" w:hAnsi="Calibri"/>
                <w:b/>
                <w:bCs/>
                <w:color w:val="000000"/>
                <w:sz w:val="24"/>
                <w:szCs w:val="24"/>
              </w:rPr>
              <w:t>£32,000</w:t>
            </w:r>
          </w:p>
        </w:tc>
        <w:tc>
          <w:tcPr>
            <w:tcW w:w="1559" w:type="dxa"/>
            <w:shd w:val="clear" w:color="auto" w:fill="auto"/>
            <w:vAlign w:val="center"/>
          </w:tcPr>
          <w:p w:rsidR="00B702FF" w:rsidP="00377B46">
            <w:pPr>
              <w:jc w:val="center"/>
              <w:rPr>
                <w:b/>
                <w:color w:val="000000" w:themeColor="text1"/>
                <w:sz w:val="24"/>
                <w:szCs w:val="24"/>
              </w:rPr>
            </w:pPr>
            <w:r>
              <w:rPr>
                <w:b/>
                <w:color w:val="000000" w:themeColor="text1"/>
                <w:sz w:val="24"/>
                <w:szCs w:val="24"/>
              </w:rPr>
              <w:t>£0</w:t>
            </w:r>
          </w:p>
        </w:tc>
        <w:tc>
          <w:tcPr>
            <w:tcW w:w="1134" w:type="dxa"/>
            <w:shd w:val="clear" w:color="auto" w:fill="auto"/>
            <w:vAlign w:val="center"/>
          </w:tcPr>
          <w:p w:rsidR="00B702FF" w:rsidP="00377B46">
            <w:pPr>
              <w:jc w:val="center"/>
              <w:rPr>
                <w:rFonts w:ascii="Calibri" w:hAnsi="Calibri"/>
                <w:b/>
                <w:bCs/>
                <w:color w:val="000000"/>
                <w:sz w:val="24"/>
                <w:szCs w:val="24"/>
              </w:rPr>
            </w:pPr>
            <w:r>
              <w:rPr>
                <w:rFonts w:ascii="Calibri" w:hAnsi="Calibri"/>
                <w:b/>
                <w:bCs/>
                <w:color w:val="000000"/>
                <w:sz w:val="24"/>
                <w:szCs w:val="24"/>
              </w:rPr>
              <w:t>£9,397</w:t>
            </w:r>
          </w:p>
        </w:tc>
        <w:tc>
          <w:tcPr>
            <w:tcW w:w="1701" w:type="dxa"/>
            <w:shd w:val="clear" w:color="auto" w:fill="auto"/>
            <w:vAlign w:val="center"/>
          </w:tcPr>
          <w:p w:rsidR="00B702FF" w:rsidP="00377B46">
            <w:pPr>
              <w:jc w:val="center"/>
              <w:rPr>
                <w:rFonts w:ascii="Calibri" w:hAnsi="Calibri"/>
                <w:b/>
                <w:color w:val="000000"/>
                <w:sz w:val="24"/>
                <w:szCs w:val="24"/>
              </w:rPr>
            </w:pPr>
            <w:r>
              <w:rPr>
                <w:rFonts w:ascii="Calibri" w:hAnsi="Calibri"/>
                <w:b/>
                <w:color w:val="000000"/>
                <w:sz w:val="24"/>
                <w:szCs w:val="24"/>
              </w:rPr>
              <w:t>£22,603</w:t>
            </w:r>
          </w:p>
        </w:tc>
      </w:tr>
      <w:tr w:rsidTr="002B55D8">
        <w:tblPrEx>
          <w:tblW w:w="22397" w:type="dxa"/>
          <w:tblInd w:w="-572" w:type="dxa"/>
          <w:tblLayout w:type="fixed"/>
          <w:tblLook w:val="04A0"/>
        </w:tblPrEx>
        <w:trPr>
          <w:trHeight w:val="331"/>
        </w:trPr>
        <w:tc>
          <w:tcPr>
            <w:tcW w:w="567" w:type="dxa"/>
            <w:shd w:val="clear" w:color="auto" w:fill="auto"/>
          </w:tcPr>
          <w:p w:rsidR="00813470" w:rsidRPr="00753D3F" w:rsidP="00A757CD">
            <w:pPr>
              <w:rPr>
                <w:color w:val="FF0000"/>
                <w:sz w:val="24"/>
                <w:szCs w:val="24"/>
              </w:rPr>
            </w:pPr>
          </w:p>
        </w:tc>
        <w:tc>
          <w:tcPr>
            <w:tcW w:w="1843" w:type="dxa"/>
            <w:shd w:val="clear" w:color="auto" w:fill="auto"/>
          </w:tcPr>
          <w:p w:rsidR="00813470" w:rsidRPr="00753D3F" w:rsidP="00A757CD">
            <w:pPr>
              <w:rPr>
                <w:rFonts w:cs="Arial"/>
                <w:color w:val="FF0000"/>
                <w:sz w:val="24"/>
                <w:szCs w:val="24"/>
              </w:rPr>
            </w:pPr>
          </w:p>
        </w:tc>
        <w:tc>
          <w:tcPr>
            <w:tcW w:w="1985" w:type="dxa"/>
            <w:shd w:val="clear" w:color="auto" w:fill="auto"/>
          </w:tcPr>
          <w:p w:rsidR="00813470" w:rsidRPr="00753D3F" w:rsidP="00A757CD">
            <w:pPr>
              <w:rPr>
                <w:color w:val="FF0000"/>
                <w:sz w:val="24"/>
                <w:szCs w:val="24"/>
              </w:rPr>
            </w:pPr>
          </w:p>
        </w:tc>
        <w:tc>
          <w:tcPr>
            <w:tcW w:w="18002" w:type="dxa"/>
            <w:gridSpan w:val="5"/>
            <w:shd w:val="clear" w:color="auto" w:fill="auto"/>
          </w:tcPr>
          <w:p w:rsidR="00813470" w:rsidRPr="00753D3F" w:rsidP="00377B46">
            <w:pPr>
              <w:rPr>
                <w:color w:val="FF0000"/>
                <w:sz w:val="24"/>
                <w:szCs w:val="24"/>
              </w:rPr>
            </w:pPr>
            <w:r w:rsidRPr="00D01227">
              <w:rPr>
                <w:b/>
                <w:color w:val="000000" w:themeColor="text1"/>
                <w:sz w:val="24"/>
                <w:szCs w:val="24"/>
              </w:rPr>
              <w:t>New Start</w:t>
            </w:r>
            <w:r>
              <w:rPr>
                <w:b/>
                <w:color w:val="000000" w:themeColor="text1"/>
                <w:sz w:val="24"/>
                <w:szCs w:val="24"/>
              </w:rPr>
              <w:t xml:space="preserve"> 2018/19 Transp</w:t>
            </w:r>
            <w:bookmarkStart w:id="0" w:name="_GoBack"/>
            <w:bookmarkEnd w:id="0"/>
            <w:r>
              <w:rPr>
                <w:b/>
                <w:color w:val="000000" w:themeColor="text1"/>
                <w:sz w:val="24"/>
                <w:szCs w:val="24"/>
              </w:rPr>
              <w:t>ort Block</w:t>
            </w:r>
          </w:p>
        </w:tc>
      </w:tr>
      <w:tr w:rsidTr="006A4B0C">
        <w:tblPrEx>
          <w:tblW w:w="22397" w:type="dxa"/>
          <w:tblInd w:w="-572" w:type="dxa"/>
          <w:tblLayout w:type="fixed"/>
          <w:tblLook w:val="04A0"/>
        </w:tblPrEx>
        <w:trPr>
          <w:trHeight w:val="3618"/>
        </w:trPr>
        <w:tc>
          <w:tcPr>
            <w:tcW w:w="567" w:type="dxa"/>
            <w:shd w:val="clear" w:color="auto" w:fill="auto"/>
          </w:tcPr>
          <w:p w:rsidR="00A757CD" w:rsidRPr="006A4B0C" w:rsidP="00A757CD">
            <w:pPr>
              <w:rPr>
                <w:color w:val="000000" w:themeColor="text1"/>
                <w:sz w:val="24"/>
                <w:szCs w:val="24"/>
              </w:rPr>
            </w:pPr>
            <w:r w:rsidRPr="006A4B0C">
              <w:rPr>
                <w:color w:val="000000" w:themeColor="text1"/>
                <w:sz w:val="24"/>
                <w:szCs w:val="24"/>
              </w:rPr>
              <w:t>4.</w:t>
            </w:r>
          </w:p>
        </w:tc>
        <w:tc>
          <w:tcPr>
            <w:tcW w:w="1843" w:type="dxa"/>
            <w:shd w:val="clear" w:color="auto" w:fill="auto"/>
          </w:tcPr>
          <w:p w:rsidR="00A757CD" w:rsidRPr="00753D3F" w:rsidP="00A757CD">
            <w:pPr>
              <w:rPr>
                <w:rFonts w:cs="Arial"/>
                <w:color w:val="FF0000"/>
                <w:sz w:val="24"/>
                <w:szCs w:val="24"/>
              </w:rPr>
            </w:pPr>
            <w:r w:rsidRPr="008D2D8B">
              <w:rPr>
                <w:color w:val="000000" w:themeColor="text1"/>
                <w:sz w:val="24"/>
                <w:szCs w:val="24"/>
              </w:rPr>
              <w:t>Feasibility study for new bus stop laybys on Queen Street</w:t>
            </w:r>
          </w:p>
        </w:tc>
        <w:tc>
          <w:tcPr>
            <w:tcW w:w="1985" w:type="dxa"/>
            <w:shd w:val="clear" w:color="auto" w:fill="auto"/>
          </w:tcPr>
          <w:p w:rsidR="00A757CD" w:rsidRPr="00753D3F" w:rsidP="00235EF9">
            <w:pPr>
              <w:rPr>
                <w:color w:val="FF0000"/>
                <w:sz w:val="24"/>
                <w:szCs w:val="24"/>
              </w:rPr>
            </w:pPr>
            <w:r w:rsidRPr="00235EF9">
              <w:rPr>
                <w:color w:val="000000" w:themeColor="text1"/>
                <w:sz w:val="24"/>
                <w:szCs w:val="24"/>
              </w:rPr>
              <w:t>Preston City, Preston</w:t>
            </w:r>
          </w:p>
        </w:tc>
        <w:tc>
          <w:tcPr>
            <w:tcW w:w="12190" w:type="dxa"/>
            <w:shd w:val="clear" w:color="auto" w:fill="auto"/>
          </w:tcPr>
          <w:p w:rsidR="00D05E31" w:rsidRPr="00D05E31" w:rsidP="00D05E31">
            <w:pPr>
              <w:jc w:val="both"/>
              <w:rPr>
                <w:color w:val="000000" w:themeColor="text1"/>
                <w:sz w:val="24"/>
                <w:szCs w:val="24"/>
              </w:rPr>
            </w:pPr>
            <w:r w:rsidRPr="00D05E31">
              <w:rPr>
                <w:color w:val="000000" w:themeColor="text1"/>
                <w:sz w:val="24"/>
                <w:szCs w:val="24"/>
              </w:rPr>
              <w:t>A number of highway and transport issues exist in the vicinity of the Cardinal Newman College site in Preston. In order</w:t>
            </w:r>
            <w:r w:rsidRPr="00D05E31">
              <w:rPr>
                <w:color w:val="000000" w:themeColor="text1"/>
                <w:sz w:val="24"/>
                <w:szCs w:val="24"/>
              </w:rPr>
              <w:t xml:space="preserve"> to improve the highway environment in this location offic</w:t>
            </w:r>
            <w:r>
              <w:rPr>
                <w:color w:val="000000" w:themeColor="text1"/>
                <w:sz w:val="24"/>
                <w:szCs w:val="24"/>
              </w:rPr>
              <w:t>ers have been working with the c</w:t>
            </w:r>
            <w:r w:rsidRPr="00D05E31">
              <w:rPr>
                <w:color w:val="000000" w:themeColor="text1"/>
                <w:sz w:val="24"/>
                <w:szCs w:val="24"/>
              </w:rPr>
              <w:t>ollege to develop an improvement concept to provide bus stop laybys on Queen Street. This proposal would benefit both college staff and students, other bus users in t</w:t>
            </w:r>
            <w:r w:rsidRPr="00D05E31">
              <w:rPr>
                <w:color w:val="000000" w:themeColor="text1"/>
                <w:sz w:val="24"/>
                <w:szCs w:val="24"/>
              </w:rPr>
              <w:t>he area as well as bringing in wider network management and public transport benefits. The next stage in the development of this proposal is to undertake a more detailed feasibility study to determine an accurate cost estimate.</w:t>
            </w:r>
          </w:p>
          <w:p w:rsidR="00D05E31" w:rsidRPr="00D05E31" w:rsidP="00D05E31">
            <w:pPr>
              <w:jc w:val="both"/>
              <w:rPr>
                <w:color w:val="000000" w:themeColor="text1"/>
                <w:sz w:val="24"/>
                <w:szCs w:val="24"/>
              </w:rPr>
            </w:pPr>
          </w:p>
          <w:p w:rsidR="00D05E31" w:rsidRPr="00D05E31" w:rsidP="00D05E31">
            <w:pPr>
              <w:jc w:val="both"/>
              <w:rPr>
                <w:color w:val="000000" w:themeColor="text1"/>
                <w:sz w:val="24"/>
                <w:szCs w:val="24"/>
              </w:rPr>
            </w:pPr>
            <w:r w:rsidRPr="00D05E31">
              <w:rPr>
                <w:color w:val="000000" w:themeColor="text1"/>
                <w:sz w:val="24"/>
                <w:szCs w:val="24"/>
              </w:rPr>
              <w:t>The cost of a feasibility s</w:t>
            </w:r>
            <w:r w:rsidRPr="00D05E31">
              <w:rPr>
                <w:color w:val="000000" w:themeColor="text1"/>
                <w:sz w:val="24"/>
                <w:szCs w:val="24"/>
              </w:rPr>
              <w:t>tudy is estimated at £12,787 and Cardinal Newman College has agreed to make a 50% contribution to these costs. Subject to securing this contribution and it being added to the Transport Block of the capital programme it is proposed that the county council c</w:t>
            </w:r>
            <w:r w:rsidRPr="00D05E31">
              <w:rPr>
                <w:color w:val="000000" w:themeColor="text1"/>
                <w:sz w:val="24"/>
                <w:szCs w:val="24"/>
              </w:rPr>
              <w:t>ontribute £6,393.50 t</w:t>
            </w:r>
            <w:r>
              <w:rPr>
                <w:color w:val="000000" w:themeColor="text1"/>
                <w:sz w:val="24"/>
                <w:szCs w:val="24"/>
              </w:rPr>
              <w:t>o be funded from the Transport C</w:t>
            </w:r>
            <w:r w:rsidRPr="00D05E31">
              <w:rPr>
                <w:color w:val="000000" w:themeColor="text1"/>
                <w:sz w:val="24"/>
                <w:szCs w:val="24"/>
              </w:rPr>
              <w:t xml:space="preserve">ontingency. </w:t>
            </w:r>
          </w:p>
          <w:p w:rsidR="00D05E31" w:rsidRPr="00D05E31" w:rsidP="00D05E31">
            <w:pPr>
              <w:jc w:val="both"/>
              <w:rPr>
                <w:color w:val="000000" w:themeColor="text1"/>
                <w:sz w:val="24"/>
                <w:szCs w:val="24"/>
              </w:rPr>
            </w:pPr>
          </w:p>
          <w:p w:rsidR="00A757CD" w:rsidRPr="006A4B0C" w:rsidP="00163983">
            <w:pPr>
              <w:jc w:val="both"/>
              <w:rPr>
                <w:color w:val="000000" w:themeColor="text1"/>
                <w:sz w:val="24"/>
                <w:szCs w:val="24"/>
              </w:rPr>
            </w:pPr>
            <w:r w:rsidRPr="00D05E31">
              <w:rPr>
                <w:color w:val="000000" w:themeColor="text1"/>
                <w:sz w:val="24"/>
                <w:szCs w:val="24"/>
              </w:rPr>
              <w:t xml:space="preserve">The use of Section 106 monies held by Preston City Council to fund </w:t>
            </w:r>
            <w:r>
              <w:rPr>
                <w:color w:val="000000" w:themeColor="text1"/>
                <w:sz w:val="24"/>
                <w:szCs w:val="24"/>
              </w:rPr>
              <w:t xml:space="preserve">any potential </w:t>
            </w:r>
            <w:r w:rsidRPr="00D05E31">
              <w:rPr>
                <w:color w:val="000000" w:themeColor="text1"/>
                <w:sz w:val="24"/>
                <w:szCs w:val="24"/>
              </w:rPr>
              <w:t>construction costs is</w:t>
            </w:r>
            <w:r>
              <w:rPr>
                <w:color w:val="000000" w:themeColor="text1"/>
                <w:sz w:val="24"/>
                <w:szCs w:val="24"/>
              </w:rPr>
              <w:t xml:space="preserve"> currently being investigated. </w:t>
            </w:r>
          </w:p>
        </w:tc>
        <w:tc>
          <w:tcPr>
            <w:tcW w:w="1418" w:type="dxa"/>
            <w:shd w:val="clear" w:color="auto" w:fill="auto"/>
            <w:vAlign w:val="center"/>
          </w:tcPr>
          <w:p w:rsidR="00A757CD" w:rsidRPr="0013320C" w:rsidP="00377B46">
            <w:pPr>
              <w:jc w:val="center"/>
              <w:rPr>
                <w:color w:val="000000" w:themeColor="text1"/>
                <w:sz w:val="24"/>
                <w:szCs w:val="24"/>
              </w:rPr>
            </w:pPr>
            <w:r w:rsidRPr="0013320C">
              <w:rPr>
                <w:color w:val="000000" w:themeColor="text1"/>
                <w:sz w:val="24"/>
                <w:szCs w:val="24"/>
              </w:rPr>
              <w:t>£0</w:t>
            </w:r>
          </w:p>
        </w:tc>
        <w:tc>
          <w:tcPr>
            <w:tcW w:w="1559" w:type="dxa"/>
            <w:shd w:val="clear" w:color="auto" w:fill="auto"/>
            <w:vAlign w:val="center"/>
          </w:tcPr>
          <w:p w:rsidR="00A757CD" w:rsidRPr="0013320C" w:rsidP="00377B46">
            <w:pPr>
              <w:jc w:val="center"/>
              <w:rPr>
                <w:color w:val="000000" w:themeColor="text1"/>
                <w:sz w:val="24"/>
                <w:szCs w:val="24"/>
              </w:rPr>
            </w:pPr>
            <w:r w:rsidRPr="0013320C">
              <w:rPr>
                <w:color w:val="000000" w:themeColor="text1"/>
                <w:sz w:val="24"/>
                <w:szCs w:val="24"/>
              </w:rPr>
              <w:t>£</w:t>
            </w:r>
            <w:r>
              <w:rPr>
                <w:color w:val="000000" w:themeColor="text1"/>
                <w:sz w:val="24"/>
                <w:szCs w:val="24"/>
              </w:rPr>
              <w:t>6,393.50</w:t>
            </w:r>
          </w:p>
        </w:tc>
        <w:tc>
          <w:tcPr>
            <w:tcW w:w="1134" w:type="dxa"/>
            <w:shd w:val="clear" w:color="auto" w:fill="auto"/>
            <w:vAlign w:val="center"/>
          </w:tcPr>
          <w:p w:rsidR="00A757CD" w:rsidRPr="0013320C" w:rsidP="00377B46">
            <w:pPr>
              <w:jc w:val="center"/>
              <w:rPr>
                <w:color w:val="000000" w:themeColor="text1"/>
                <w:sz w:val="24"/>
                <w:szCs w:val="24"/>
              </w:rPr>
            </w:pPr>
            <w:r w:rsidRPr="0013320C">
              <w:rPr>
                <w:color w:val="000000" w:themeColor="text1"/>
                <w:sz w:val="24"/>
                <w:szCs w:val="24"/>
              </w:rPr>
              <w:t>£0</w:t>
            </w:r>
          </w:p>
        </w:tc>
        <w:tc>
          <w:tcPr>
            <w:tcW w:w="1701" w:type="dxa"/>
            <w:shd w:val="clear" w:color="auto" w:fill="auto"/>
            <w:vAlign w:val="center"/>
          </w:tcPr>
          <w:p w:rsidR="0013320C" w:rsidP="00377B46">
            <w:pPr>
              <w:jc w:val="center"/>
              <w:rPr>
                <w:color w:val="000000" w:themeColor="text1"/>
                <w:sz w:val="24"/>
                <w:szCs w:val="24"/>
              </w:rPr>
            </w:pPr>
          </w:p>
          <w:p w:rsidR="0013320C" w:rsidP="00377B46">
            <w:pPr>
              <w:jc w:val="center"/>
              <w:rPr>
                <w:color w:val="000000" w:themeColor="text1"/>
                <w:sz w:val="24"/>
                <w:szCs w:val="24"/>
              </w:rPr>
            </w:pPr>
          </w:p>
          <w:p w:rsidR="0013320C" w:rsidP="00377B46">
            <w:pPr>
              <w:jc w:val="center"/>
              <w:rPr>
                <w:color w:val="000000" w:themeColor="text1"/>
                <w:sz w:val="24"/>
                <w:szCs w:val="24"/>
              </w:rPr>
            </w:pPr>
          </w:p>
          <w:p w:rsidR="00A757CD" w:rsidP="00377B46">
            <w:pPr>
              <w:jc w:val="center"/>
              <w:rPr>
                <w:color w:val="000000" w:themeColor="text1"/>
                <w:sz w:val="24"/>
                <w:szCs w:val="24"/>
              </w:rPr>
            </w:pPr>
            <w:r w:rsidRPr="0013320C">
              <w:rPr>
                <w:color w:val="000000" w:themeColor="text1"/>
                <w:sz w:val="24"/>
                <w:szCs w:val="24"/>
              </w:rPr>
              <w:t>£</w:t>
            </w:r>
            <w:r>
              <w:rPr>
                <w:color w:val="000000" w:themeColor="text1"/>
                <w:sz w:val="24"/>
                <w:szCs w:val="24"/>
              </w:rPr>
              <w:t>12,787</w:t>
            </w:r>
          </w:p>
          <w:p w:rsidR="0013320C" w:rsidRPr="0013320C" w:rsidP="00377B46">
            <w:pPr>
              <w:jc w:val="center"/>
              <w:rPr>
                <w:color w:val="000000" w:themeColor="text1"/>
                <w:sz w:val="20"/>
                <w:szCs w:val="20"/>
              </w:rPr>
            </w:pPr>
            <w:r w:rsidRPr="0013320C">
              <w:rPr>
                <w:color w:val="000000" w:themeColor="text1"/>
                <w:sz w:val="20"/>
                <w:szCs w:val="20"/>
              </w:rPr>
              <w:t>(inclusive of £6,39</w:t>
            </w:r>
            <w:r>
              <w:rPr>
                <w:color w:val="000000" w:themeColor="text1"/>
                <w:sz w:val="20"/>
                <w:szCs w:val="20"/>
              </w:rPr>
              <w:t>3</w:t>
            </w:r>
            <w:r w:rsidRPr="0013320C">
              <w:rPr>
                <w:color w:val="000000" w:themeColor="text1"/>
                <w:sz w:val="20"/>
                <w:szCs w:val="20"/>
              </w:rPr>
              <w:t>.50 from Cardinal Newman College)</w:t>
            </w:r>
          </w:p>
        </w:tc>
      </w:tr>
      <w:tr w:rsidTr="00920773">
        <w:tblPrEx>
          <w:tblW w:w="22397" w:type="dxa"/>
          <w:tblInd w:w="-572" w:type="dxa"/>
          <w:tblLayout w:type="fixed"/>
          <w:tblLook w:val="04A0"/>
        </w:tblPrEx>
        <w:trPr>
          <w:trHeight w:val="389"/>
        </w:trPr>
        <w:tc>
          <w:tcPr>
            <w:tcW w:w="567" w:type="dxa"/>
            <w:shd w:val="clear" w:color="auto" w:fill="auto"/>
          </w:tcPr>
          <w:p w:rsidR="00377B46" w:rsidRPr="00377B46" w:rsidP="00377B46">
            <w:pPr>
              <w:rPr>
                <w:color w:val="000000" w:themeColor="text1"/>
                <w:sz w:val="24"/>
                <w:szCs w:val="24"/>
              </w:rPr>
            </w:pPr>
            <w:r w:rsidRPr="00377B46">
              <w:rPr>
                <w:color w:val="000000" w:themeColor="text1"/>
                <w:sz w:val="24"/>
                <w:szCs w:val="24"/>
              </w:rPr>
              <w:t>5.</w:t>
            </w:r>
          </w:p>
        </w:tc>
        <w:tc>
          <w:tcPr>
            <w:tcW w:w="1843" w:type="dxa"/>
            <w:tcBorders>
              <w:top w:val="nil"/>
              <w:left w:val="nil"/>
              <w:bottom w:val="single" w:sz="8" w:space="0" w:color="auto"/>
              <w:right w:val="single" w:sz="8" w:space="0" w:color="auto"/>
            </w:tcBorders>
          </w:tcPr>
          <w:p w:rsidR="00377B46" w:rsidRPr="00377B46" w:rsidP="00377B46">
            <w:pPr>
              <w:rPr>
                <w:rFonts w:ascii="Calibri" w:hAnsi="Calibri"/>
                <w:color w:val="FF0000"/>
                <w:sz w:val="24"/>
                <w:szCs w:val="24"/>
              </w:rPr>
            </w:pPr>
            <w:r>
              <w:rPr>
                <w:rFonts w:ascii="Calibri" w:hAnsi="Calibri"/>
                <w:sz w:val="24"/>
                <w:szCs w:val="24"/>
              </w:rPr>
              <w:t xml:space="preserve">Fishergate </w:t>
            </w:r>
            <w:r w:rsidRPr="00377B46">
              <w:rPr>
                <w:rFonts w:ascii="Calibri" w:hAnsi="Calibri"/>
                <w:sz w:val="24"/>
                <w:szCs w:val="24"/>
              </w:rPr>
              <w:t>Public Realm Improvements</w:t>
            </w:r>
          </w:p>
        </w:tc>
        <w:tc>
          <w:tcPr>
            <w:tcW w:w="1985" w:type="dxa"/>
            <w:tcBorders>
              <w:top w:val="nil"/>
              <w:left w:val="nil"/>
              <w:bottom w:val="single" w:sz="8" w:space="0" w:color="auto"/>
              <w:right w:val="single" w:sz="8" w:space="0" w:color="auto"/>
            </w:tcBorders>
          </w:tcPr>
          <w:p w:rsidR="00377B46" w:rsidRPr="00377B46" w:rsidP="00377B46">
            <w:pPr>
              <w:rPr>
                <w:rFonts w:ascii="Calibri" w:hAnsi="Calibri"/>
                <w:color w:val="FF0000"/>
                <w:sz w:val="24"/>
                <w:szCs w:val="24"/>
              </w:rPr>
            </w:pPr>
            <w:r w:rsidRPr="00377B46">
              <w:rPr>
                <w:rFonts w:ascii="Calibri" w:hAnsi="Calibri"/>
                <w:color w:val="000000"/>
                <w:sz w:val="24"/>
                <w:szCs w:val="24"/>
              </w:rPr>
              <w:t>Preston City, Preston</w:t>
            </w:r>
          </w:p>
        </w:tc>
        <w:tc>
          <w:tcPr>
            <w:tcW w:w="12190" w:type="dxa"/>
            <w:tcBorders>
              <w:top w:val="nil"/>
              <w:left w:val="nil"/>
              <w:bottom w:val="single" w:sz="8" w:space="0" w:color="auto"/>
              <w:right w:val="single" w:sz="8" w:space="0" w:color="auto"/>
            </w:tcBorders>
          </w:tcPr>
          <w:p w:rsidR="00377B46" w:rsidRPr="00377B46" w:rsidP="00377B46">
            <w:pPr>
              <w:jc w:val="both"/>
              <w:rPr>
                <w:rFonts w:ascii="Calibri" w:hAnsi="Calibri"/>
                <w:sz w:val="24"/>
                <w:szCs w:val="24"/>
              </w:rPr>
            </w:pPr>
            <w:r w:rsidRPr="00377B46">
              <w:rPr>
                <w:rFonts w:ascii="Calibri" w:hAnsi="Calibri"/>
                <w:sz w:val="24"/>
                <w:szCs w:val="24"/>
              </w:rPr>
              <w:t xml:space="preserve">Approval is sought to fund the design and implementation of outstanding public realm requirements along Fishergate in keeping with </w:t>
            </w:r>
            <w:r w:rsidRPr="00377B46">
              <w:rPr>
                <w:rFonts w:ascii="Calibri" w:hAnsi="Calibri"/>
                <w:sz w:val="24"/>
                <w:szCs w:val="24"/>
              </w:rPr>
              <w:t>Fishergate's</w:t>
            </w:r>
            <w:r w:rsidRPr="00377B46">
              <w:rPr>
                <w:rFonts w:ascii="Calibri" w:hAnsi="Calibri"/>
                <w:sz w:val="24"/>
                <w:szCs w:val="24"/>
              </w:rPr>
              <w:t xml:space="preserve"> new street scene and the mobility requirements of the street's users.</w:t>
            </w:r>
            <w:r>
              <w:rPr>
                <w:rFonts w:ascii="Calibri" w:hAnsi="Calibri"/>
                <w:sz w:val="24"/>
                <w:szCs w:val="24"/>
              </w:rPr>
              <w:t xml:space="preserve"> It is proposed that this is funded from the Transport Contingency.</w:t>
            </w:r>
          </w:p>
          <w:p w:rsidR="00377B46" w:rsidRPr="00377B46" w:rsidP="00377B46">
            <w:pPr>
              <w:jc w:val="both"/>
              <w:rPr>
                <w:rFonts w:ascii="Calibri" w:hAnsi="Calibri"/>
                <w:color w:val="000000"/>
                <w:sz w:val="24"/>
                <w:szCs w:val="24"/>
              </w:rPr>
            </w:pPr>
          </w:p>
        </w:tc>
        <w:tc>
          <w:tcPr>
            <w:tcW w:w="1418" w:type="dxa"/>
            <w:tcBorders>
              <w:top w:val="nil"/>
              <w:left w:val="nil"/>
              <w:bottom w:val="single" w:sz="8" w:space="0" w:color="auto"/>
              <w:right w:val="single" w:sz="8" w:space="0" w:color="auto"/>
            </w:tcBorders>
            <w:vAlign w:val="center"/>
          </w:tcPr>
          <w:p w:rsidR="00377B46" w:rsidRPr="00377B46" w:rsidP="00377B46">
            <w:pPr>
              <w:jc w:val="center"/>
              <w:rPr>
                <w:rFonts w:ascii="Calibri" w:hAnsi="Calibri"/>
                <w:color w:val="000000"/>
                <w:sz w:val="24"/>
                <w:szCs w:val="24"/>
              </w:rPr>
            </w:pPr>
            <w:r w:rsidRPr="00377B46">
              <w:rPr>
                <w:rFonts w:ascii="Calibri" w:hAnsi="Calibri"/>
                <w:color w:val="000000"/>
                <w:sz w:val="24"/>
                <w:szCs w:val="24"/>
              </w:rPr>
              <w:t>£0</w:t>
            </w:r>
          </w:p>
        </w:tc>
        <w:tc>
          <w:tcPr>
            <w:tcW w:w="1559" w:type="dxa"/>
            <w:tcBorders>
              <w:top w:val="nil"/>
              <w:left w:val="nil"/>
              <w:bottom w:val="single" w:sz="8" w:space="0" w:color="auto"/>
              <w:right w:val="single" w:sz="8" w:space="0" w:color="auto"/>
            </w:tcBorders>
            <w:vAlign w:val="center"/>
          </w:tcPr>
          <w:p w:rsidR="00377B46" w:rsidRPr="00377B46" w:rsidP="00377B46">
            <w:pPr>
              <w:jc w:val="center"/>
              <w:rPr>
                <w:rFonts w:ascii="Calibri" w:hAnsi="Calibri"/>
                <w:color w:val="000000"/>
                <w:sz w:val="24"/>
                <w:szCs w:val="24"/>
              </w:rPr>
            </w:pPr>
            <w:r w:rsidRPr="00377B46">
              <w:rPr>
                <w:rFonts w:ascii="Calibri" w:hAnsi="Calibri"/>
                <w:color w:val="000000"/>
                <w:sz w:val="24"/>
                <w:szCs w:val="24"/>
              </w:rPr>
              <w:t>£75,000</w:t>
            </w:r>
          </w:p>
        </w:tc>
        <w:tc>
          <w:tcPr>
            <w:tcW w:w="1134" w:type="dxa"/>
            <w:tcBorders>
              <w:top w:val="nil"/>
              <w:left w:val="nil"/>
              <w:bottom w:val="single" w:sz="8" w:space="0" w:color="auto"/>
              <w:right w:val="single" w:sz="8" w:space="0" w:color="auto"/>
            </w:tcBorders>
            <w:vAlign w:val="center"/>
          </w:tcPr>
          <w:p w:rsidR="00377B46" w:rsidRPr="00377B46" w:rsidP="00377B46">
            <w:pPr>
              <w:jc w:val="center"/>
              <w:rPr>
                <w:rFonts w:ascii="Calibri" w:hAnsi="Calibri"/>
                <w:color w:val="000000"/>
                <w:sz w:val="24"/>
                <w:szCs w:val="24"/>
              </w:rPr>
            </w:pPr>
            <w:r w:rsidRPr="00377B46">
              <w:rPr>
                <w:rFonts w:ascii="Calibri" w:hAnsi="Calibri"/>
                <w:color w:val="000000"/>
                <w:sz w:val="24"/>
                <w:szCs w:val="24"/>
              </w:rPr>
              <w:t>£0</w:t>
            </w:r>
          </w:p>
        </w:tc>
        <w:tc>
          <w:tcPr>
            <w:tcW w:w="1701" w:type="dxa"/>
            <w:tcBorders>
              <w:top w:val="nil"/>
              <w:left w:val="nil"/>
              <w:bottom w:val="single" w:sz="8" w:space="0" w:color="auto"/>
              <w:right w:val="single" w:sz="8" w:space="0" w:color="auto"/>
            </w:tcBorders>
            <w:vAlign w:val="center"/>
          </w:tcPr>
          <w:p w:rsidR="00377B46" w:rsidRPr="00377B46" w:rsidP="00377B46">
            <w:pPr>
              <w:jc w:val="center"/>
              <w:rPr>
                <w:rFonts w:ascii="Calibri" w:hAnsi="Calibri"/>
                <w:color w:val="000000"/>
                <w:sz w:val="24"/>
                <w:szCs w:val="24"/>
              </w:rPr>
            </w:pPr>
            <w:r w:rsidRPr="00377B46">
              <w:rPr>
                <w:rFonts w:ascii="Calibri" w:hAnsi="Calibri"/>
                <w:color w:val="000000"/>
                <w:sz w:val="24"/>
                <w:szCs w:val="24"/>
              </w:rPr>
              <w:t>£75,000</w:t>
            </w:r>
          </w:p>
        </w:tc>
      </w:tr>
      <w:tr w:rsidTr="00F50707">
        <w:tblPrEx>
          <w:tblW w:w="22397" w:type="dxa"/>
          <w:tblInd w:w="-572" w:type="dxa"/>
          <w:tblLayout w:type="fixed"/>
          <w:tblLook w:val="04A0"/>
        </w:tblPrEx>
        <w:trPr>
          <w:trHeight w:val="389"/>
        </w:trPr>
        <w:tc>
          <w:tcPr>
            <w:tcW w:w="567" w:type="dxa"/>
            <w:shd w:val="clear" w:color="auto" w:fill="auto"/>
          </w:tcPr>
          <w:p w:rsidR="0013320C" w:rsidRPr="006A4B0C" w:rsidP="0013320C">
            <w:pPr>
              <w:rPr>
                <w:color w:val="000000" w:themeColor="text1"/>
                <w:sz w:val="24"/>
                <w:szCs w:val="24"/>
              </w:rPr>
            </w:pPr>
          </w:p>
        </w:tc>
        <w:tc>
          <w:tcPr>
            <w:tcW w:w="1843" w:type="dxa"/>
            <w:shd w:val="clear" w:color="auto" w:fill="auto"/>
          </w:tcPr>
          <w:p w:rsidR="0013320C" w:rsidRPr="00753D3F" w:rsidP="0013320C">
            <w:pPr>
              <w:rPr>
                <w:color w:val="FF0000"/>
                <w:sz w:val="24"/>
                <w:szCs w:val="24"/>
              </w:rPr>
            </w:pPr>
          </w:p>
        </w:tc>
        <w:tc>
          <w:tcPr>
            <w:tcW w:w="1985" w:type="dxa"/>
            <w:shd w:val="clear" w:color="auto" w:fill="auto"/>
          </w:tcPr>
          <w:p w:rsidR="0013320C" w:rsidRPr="00753D3F" w:rsidP="0013320C">
            <w:pPr>
              <w:rPr>
                <w:color w:val="FF0000"/>
                <w:sz w:val="24"/>
                <w:szCs w:val="24"/>
              </w:rPr>
            </w:pPr>
          </w:p>
        </w:tc>
        <w:tc>
          <w:tcPr>
            <w:tcW w:w="12190" w:type="dxa"/>
            <w:shd w:val="clear" w:color="auto" w:fill="auto"/>
          </w:tcPr>
          <w:p w:rsidR="0013320C" w:rsidRPr="00753D3F" w:rsidP="0013320C">
            <w:pPr>
              <w:jc w:val="right"/>
              <w:rPr>
                <w:color w:val="FF0000"/>
                <w:sz w:val="24"/>
                <w:szCs w:val="24"/>
              </w:rPr>
            </w:pPr>
            <w:r>
              <w:rPr>
                <w:b/>
                <w:color w:val="000000" w:themeColor="text1"/>
                <w:sz w:val="24"/>
                <w:szCs w:val="24"/>
              </w:rPr>
              <w:t xml:space="preserve">Revised </w:t>
            </w:r>
            <w:r w:rsidRPr="00D01227">
              <w:rPr>
                <w:b/>
                <w:color w:val="000000" w:themeColor="text1"/>
                <w:sz w:val="24"/>
                <w:szCs w:val="24"/>
              </w:rPr>
              <w:t>New Start</w:t>
            </w:r>
            <w:r>
              <w:rPr>
                <w:b/>
                <w:color w:val="000000" w:themeColor="text1"/>
                <w:sz w:val="24"/>
                <w:szCs w:val="24"/>
              </w:rPr>
              <w:t xml:space="preserve"> 2018/19 Transport Block</w:t>
            </w:r>
          </w:p>
        </w:tc>
        <w:tc>
          <w:tcPr>
            <w:tcW w:w="1418" w:type="dxa"/>
            <w:shd w:val="clear" w:color="auto" w:fill="auto"/>
            <w:vAlign w:val="center"/>
          </w:tcPr>
          <w:p w:rsidR="0013320C" w:rsidRPr="0013320C" w:rsidP="00377B46">
            <w:pPr>
              <w:jc w:val="center"/>
              <w:rPr>
                <w:b/>
                <w:color w:val="000000" w:themeColor="text1"/>
                <w:sz w:val="24"/>
                <w:szCs w:val="24"/>
              </w:rPr>
            </w:pPr>
            <w:r w:rsidRPr="0013320C">
              <w:rPr>
                <w:b/>
                <w:color w:val="000000" w:themeColor="text1"/>
                <w:sz w:val="24"/>
                <w:szCs w:val="24"/>
              </w:rPr>
              <w:t>£0</w:t>
            </w:r>
          </w:p>
        </w:tc>
        <w:tc>
          <w:tcPr>
            <w:tcW w:w="1559" w:type="dxa"/>
            <w:shd w:val="clear" w:color="auto" w:fill="auto"/>
            <w:vAlign w:val="center"/>
          </w:tcPr>
          <w:p w:rsidR="0013320C" w:rsidRPr="0013320C" w:rsidP="00377B46">
            <w:pPr>
              <w:jc w:val="center"/>
              <w:rPr>
                <w:b/>
                <w:color w:val="000000" w:themeColor="text1"/>
                <w:sz w:val="24"/>
                <w:szCs w:val="24"/>
              </w:rPr>
            </w:pPr>
            <w:r w:rsidRPr="0013320C">
              <w:rPr>
                <w:b/>
                <w:color w:val="000000" w:themeColor="text1"/>
                <w:sz w:val="24"/>
                <w:szCs w:val="24"/>
              </w:rPr>
              <w:t>£</w:t>
            </w:r>
            <w:r>
              <w:rPr>
                <w:b/>
                <w:color w:val="000000" w:themeColor="text1"/>
                <w:sz w:val="24"/>
                <w:szCs w:val="24"/>
              </w:rPr>
              <w:t>81,393.50</w:t>
            </w:r>
          </w:p>
        </w:tc>
        <w:tc>
          <w:tcPr>
            <w:tcW w:w="1134" w:type="dxa"/>
            <w:shd w:val="clear" w:color="auto" w:fill="auto"/>
            <w:vAlign w:val="center"/>
          </w:tcPr>
          <w:p w:rsidR="0013320C" w:rsidRPr="0013320C" w:rsidP="00377B46">
            <w:pPr>
              <w:jc w:val="center"/>
              <w:rPr>
                <w:b/>
                <w:color w:val="000000" w:themeColor="text1"/>
                <w:sz w:val="24"/>
                <w:szCs w:val="24"/>
              </w:rPr>
            </w:pPr>
            <w:r w:rsidRPr="0013320C">
              <w:rPr>
                <w:b/>
                <w:color w:val="000000" w:themeColor="text1"/>
                <w:sz w:val="24"/>
                <w:szCs w:val="24"/>
              </w:rPr>
              <w:t>£</w:t>
            </w:r>
            <w:r w:rsidRPr="0013320C">
              <w:rPr>
                <w:b/>
                <w:color w:val="000000" w:themeColor="text1"/>
                <w:sz w:val="24"/>
                <w:szCs w:val="24"/>
              </w:rPr>
              <w:t>0</w:t>
            </w:r>
          </w:p>
        </w:tc>
        <w:tc>
          <w:tcPr>
            <w:tcW w:w="1701" w:type="dxa"/>
            <w:shd w:val="clear" w:color="auto" w:fill="auto"/>
            <w:vAlign w:val="center"/>
          </w:tcPr>
          <w:p w:rsidR="0013320C" w:rsidRPr="0013320C" w:rsidP="00377B46">
            <w:pPr>
              <w:jc w:val="center"/>
              <w:rPr>
                <w:b/>
                <w:color w:val="000000" w:themeColor="text1"/>
                <w:sz w:val="24"/>
                <w:szCs w:val="24"/>
              </w:rPr>
            </w:pPr>
            <w:r>
              <w:rPr>
                <w:b/>
                <w:color w:val="000000" w:themeColor="text1"/>
                <w:sz w:val="24"/>
                <w:szCs w:val="24"/>
              </w:rPr>
              <w:t>£87,787</w:t>
            </w:r>
          </w:p>
        </w:tc>
      </w:tr>
    </w:tbl>
    <w:p w:rsidR="00377B46">
      <w:r>
        <w:br w:type="page"/>
      </w:r>
    </w:p>
    <w:tbl>
      <w:tblPr>
        <w:tblStyle w:val="TableGrid"/>
        <w:tblW w:w="22397" w:type="dxa"/>
        <w:tblInd w:w="-572" w:type="dxa"/>
        <w:tblLayout w:type="fixed"/>
        <w:tblLook w:val="04A0"/>
      </w:tblPr>
      <w:tblGrid>
        <w:gridCol w:w="567"/>
        <w:gridCol w:w="1843"/>
        <w:gridCol w:w="1985"/>
        <w:gridCol w:w="12190"/>
        <w:gridCol w:w="1418"/>
        <w:gridCol w:w="1559"/>
        <w:gridCol w:w="1134"/>
        <w:gridCol w:w="1701"/>
      </w:tblGrid>
      <w:tr w:rsidTr="00377B46">
        <w:tblPrEx>
          <w:tblW w:w="22397" w:type="dxa"/>
          <w:tblInd w:w="-572" w:type="dxa"/>
          <w:tblLayout w:type="fixed"/>
          <w:tblLook w:val="04A0"/>
        </w:tblPrEx>
        <w:trPr>
          <w:trHeight w:val="389"/>
        </w:trPr>
        <w:tc>
          <w:tcPr>
            <w:tcW w:w="567"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No</w:t>
            </w:r>
          </w:p>
        </w:tc>
        <w:tc>
          <w:tcPr>
            <w:tcW w:w="1843"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Scheme Name</w:t>
            </w:r>
          </w:p>
        </w:tc>
        <w:tc>
          <w:tcPr>
            <w:tcW w:w="1985"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377B46" w:rsidRPr="00F67EA6" w:rsidP="00377B46">
            <w:pPr>
              <w:jc w:val="center"/>
              <w:rPr>
                <w:b/>
                <w:color w:val="000000" w:themeColor="text1"/>
                <w:sz w:val="24"/>
                <w:szCs w:val="24"/>
              </w:rPr>
            </w:pPr>
            <w:r w:rsidRPr="00F67EA6">
              <w:rPr>
                <w:b/>
                <w:color w:val="000000" w:themeColor="text1"/>
                <w:sz w:val="24"/>
                <w:szCs w:val="24"/>
              </w:rPr>
              <w:t>Proposed Scheme Allocation</w:t>
            </w:r>
          </w:p>
        </w:tc>
      </w:tr>
      <w:tr w:rsidTr="00E80BB7">
        <w:tblPrEx>
          <w:tblW w:w="22397" w:type="dxa"/>
          <w:tblInd w:w="-572" w:type="dxa"/>
          <w:tblLayout w:type="fixed"/>
          <w:tblLook w:val="04A0"/>
        </w:tblPrEx>
        <w:trPr>
          <w:trHeight w:val="410"/>
        </w:trPr>
        <w:tc>
          <w:tcPr>
            <w:tcW w:w="567" w:type="dxa"/>
            <w:shd w:val="clear" w:color="auto" w:fill="auto"/>
          </w:tcPr>
          <w:p w:rsidR="00813470" w:rsidRPr="006A4B0C" w:rsidP="0013320C">
            <w:pPr>
              <w:rPr>
                <w:color w:val="000000" w:themeColor="text1"/>
                <w:sz w:val="24"/>
                <w:szCs w:val="24"/>
              </w:rPr>
            </w:pPr>
          </w:p>
        </w:tc>
        <w:tc>
          <w:tcPr>
            <w:tcW w:w="1843" w:type="dxa"/>
            <w:shd w:val="clear" w:color="auto" w:fill="auto"/>
          </w:tcPr>
          <w:p w:rsidR="00813470" w:rsidRPr="00753D3F" w:rsidP="0013320C">
            <w:pPr>
              <w:rPr>
                <w:color w:val="FF0000"/>
                <w:sz w:val="24"/>
                <w:szCs w:val="24"/>
              </w:rPr>
            </w:pPr>
          </w:p>
        </w:tc>
        <w:tc>
          <w:tcPr>
            <w:tcW w:w="1985" w:type="dxa"/>
            <w:shd w:val="clear" w:color="auto" w:fill="auto"/>
          </w:tcPr>
          <w:p w:rsidR="00813470" w:rsidRPr="00242868" w:rsidP="0013320C">
            <w:pPr>
              <w:rPr>
                <w:color w:val="000000" w:themeColor="text1"/>
                <w:sz w:val="24"/>
                <w:szCs w:val="24"/>
              </w:rPr>
            </w:pPr>
          </w:p>
        </w:tc>
        <w:tc>
          <w:tcPr>
            <w:tcW w:w="18002" w:type="dxa"/>
            <w:gridSpan w:val="5"/>
            <w:shd w:val="clear" w:color="auto" w:fill="auto"/>
            <w:vAlign w:val="center"/>
          </w:tcPr>
          <w:p w:rsidR="00813470" w:rsidRPr="00753D3F" w:rsidP="00813470">
            <w:pPr>
              <w:rPr>
                <w:b/>
                <w:color w:val="FF0000"/>
                <w:sz w:val="24"/>
                <w:szCs w:val="24"/>
              </w:rPr>
            </w:pPr>
            <w:r>
              <w:rPr>
                <w:b/>
                <w:color w:val="000000" w:themeColor="text1"/>
                <w:sz w:val="24"/>
                <w:szCs w:val="24"/>
              </w:rPr>
              <w:t>New Start 2014/15</w:t>
            </w:r>
            <w:r w:rsidRPr="00E473AE">
              <w:rPr>
                <w:b/>
                <w:color w:val="000000" w:themeColor="text1"/>
                <w:sz w:val="24"/>
                <w:szCs w:val="24"/>
              </w:rPr>
              <w:t xml:space="preserve"> Public Rights of Way</w:t>
            </w:r>
            <w:r>
              <w:rPr>
                <w:b/>
                <w:color w:val="000000" w:themeColor="text1"/>
                <w:sz w:val="24"/>
                <w:szCs w:val="24"/>
              </w:rPr>
              <w:t xml:space="preserve"> (PROW)</w:t>
            </w:r>
          </w:p>
        </w:tc>
      </w:tr>
      <w:tr w:rsidTr="00BE3C3A">
        <w:tblPrEx>
          <w:tblW w:w="22397" w:type="dxa"/>
          <w:tblInd w:w="-572" w:type="dxa"/>
          <w:tblLayout w:type="fixed"/>
          <w:tblLook w:val="04A0"/>
        </w:tblPrEx>
        <w:trPr>
          <w:trHeight w:val="1031"/>
        </w:trPr>
        <w:tc>
          <w:tcPr>
            <w:tcW w:w="567" w:type="dxa"/>
            <w:shd w:val="clear" w:color="auto" w:fill="auto"/>
          </w:tcPr>
          <w:p w:rsidR="0013320C" w:rsidRPr="00BE3C3A" w:rsidP="0013320C">
            <w:pPr>
              <w:rPr>
                <w:color w:val="000000" w:themeColor="text1"/>
                <w:sz w:val="24"/>
                <w:szCs w:val="24"/>
              </w:rPr>
            </w:pPr>
            <w:r>
              <w:rPr>
                <w:color w:val="000000" w:themeColor="text1"/>
                <w:sz w:val="24"/>
                <w:szCs w:val="24"/>
              </w:rPr>
              <w:t>6</w:t>
            </w:r>
            <w:r w:rsidRPr="00BE3C3A">
              <w:rPr>
                <w:color w:val="000000" w:themeColor="text1"/>
                <w:sz w:val="24"/>
                <w:szCs w:val="24"/>
              </w:rPr>
              <w:t>.</w:t>
            </w:r>
          </w:p>
        </w:tc>
        <w:tc>
          <w:tcPr>
            <w:tcW w:w="1843" w:type="dxa"/>
            <w:shd w:val="clear" w:color="auto" w:fill="auto"/>
          </w:tcPr>
          <w:p w:rsidR="0013320C" w:rsidRPr="00BE3C3A" w:rsidP="0013320C">
            <w:pPr>
              <w:rPr>
                <w:rFonts w:cs="Arial"/>
                <w:color w:val="000000" w:themeColor="text1"/>
                <w:sz w:val="24"/>
                <w:szCs w:val="24"/>
              </w:rPr>
            </w:pPr>
            <w:r w:rsidRPr="00BE3C3A">
              <w:rPr>
                <w:rFonts w:cs="Arial"/>
                <w:color w:val="000000" w:themeColor="text1"/>
                <w:sz w:val="24"/>
                <w:szCs w:val="24"/>
              </w:rPr>
              <w:t xml:space="preserve">2014/15 </w:t>
            </w:r>
            <w:r w:rsidRPr="00BE3C3A">
              <w:rPr>
                <w:color w:val="000000" w:themeColor="text1"/>
                <w:sz w:val="24"/>
                <w:szCs w:val="24"/>
              </w:rPr>
              <w:t xml:space="preserve">PROW </w:t>
            </w:r>
            <w:r w:rsidRPr="00BE3C3A">
              <w:rPr>
                <w:rFonts w:cs="Arial"/>
                <w:color w:val="000000" w:themeColor="text1"/>
                <w:sz w:val="24"/>
                <w:szCs w:val="24"/>
              </w:rPr>
              <w:t>Countywide Reactive Maintenance</w:t>
            </w:r>
          </w:p>
        </w:tc>
        <w:tc>
          <w:tcPr>
            <w:tcW w:w="1985" w:type="dxa"/>
            <w:shd w:val="clear" w:color="auto" w:fill="auto"/>
          </w:tcPr>
          <w:p w:rsidR="0013320C" w:rsidRPr="00242868" w:rsidP="0013320C">
            <w:pPr>
              <w:rPr>
                <w:color w:val="000000" w:themeColor="text1"/>
                <w:sz w:val="24"/>
                <w:szCs w:val="24"/>
              </w:rPr>
            </w:pPr>
            <w:r w:rsidRPr="00242868">
              <w:rPr>
                <w:color w:val="000000" w:themeColor="text1"/>
                <w:sz w:val="24"/>
                <w:szCs w:val="24"/>
              </w:rPr>
              <w:t>Countywide as necessary</w:t>
            </w:r>
          </w:p>
        </w:tc>
        <w:tc>
          <w:tcPr>
            <w:tcW w:w="12190" w:type="dxa"/>
            <w:shd w:val="clear" w:color="auto" w:fill="auto"/>
          </w:tcPr>
          <w:p w:rsidR="00E473AE" w:rsidRPr="00BE3C3A" w:rsidP="008E56D3">
            <w:pPr>
              <w:jc w:val="both"/>
              <w:rPr>
                <w:color w:val="000000" w:themeColor="text1"/>
                <w:sz w:val="24"/>
                <w:szCs w:val="24"/>
              </w:rPr>
            </w:pPr>
            <w:r>
              <w:rPr>
                <w:color w:val="000000" w:themeColor="text1"/>
                <w:sz w:val="24"/>
                <w:szCs w:val="24"/>
              </w:rPr>
              <w:t xml:space="preserve">The required maintenance works have been completed, however, final costs have now been established and a further </w:t>
            </w:r>
            <w:r w:rsidRPr="008E56D3">
              <w:rPr>
                <w:color w:val="000000" w:themeColor="text1"/>
                <w:sz w:val="24"/>
                <w:szCs w:val="24"/>
              </w:rPr>
              <w:t>£2</w:t>
            </w:r>
            <w:r>
              <w:rPr>
                <w:color w:val="000000" w:themeColor="text1"/>
                <w:sz w:val="24"/>
                <w:szCs w:val="24"/>
              </w:rPr>
              <w:t>,759 is required to fund this programme of work.  It is proposed that this funding be allocated from remaining funds in the corresponding 201</w:t>
            </w:r>
            <w:r>
              <w:rPr>
                <w:color w:val="000000" w:themeColor="text1"/>
                <w:sz w:val="24"/>
                <w:szCs w:val="24"/>
              </w:rPr>
              <w:t>6/17 PROW Countywide Reactive Maintenance allocation.</w:t>
            </w:r>
          </w:p>
        </w:tc>
        <w:tc>
          <w:tcPr>
            <w:tcW w:w="1418" w:type="dxa"/>
            <w:shd w:val="clear" w:color="auto" w:fill="auto"/>
            <w:vAlign w:val="center"/>
          </w:tcPr>
          <w:p w:rsidR="0013320C" w:rsidRPr="00B112D6" w:rsidP="00377B46">
            <w:pPr>
              <w:jc w:val="center"/>
              <w:rPr>
                <w:color w:val="000000" w:themeColor="text1"/>
                <w:sz w:val="24"/>
                <w:szCs w:val="24"/>
              </w:rPr>
            </w:pPr>
            <w:r w:rsidRPr="00B112D6">
              <w:rPr>
                <w:color w:val="000000" w:themeColor="text1"/>
                <w:sz w:val="24"/>
                <w:szCs w:val="24"/>
              </w:rPr>
              <w:t>£20,435</w:t>
            </w:r>
          </w:p>
        </w:tc>
        <w:tc>
          <w:tcPr>
            <w:tcW w:w="1559" w:type="dxa"/>
            <w:shd w:val="clear" w:color="auto" w:fill="auto"/>
            <w:vAlign w:val="center"/>
          </w:tcPr>
          <w:p w:rsidR="0013320C" w:rsidRPr="007F19D7" w:rsidP="00377B46">
            <w:pPr>
              <w:jc w:val="center"/>
              <w:rPr>
                <w:color w:val="FF0000"/>
                <w:sz w:val="24"/>
                <w:szCs w:val="24"/>
              </w:rPr>
            </w:pPr>
            <w:r w:rsidRPr="00E75EB4">
              <w:rPr>
                <w:color w:val="000000" w:themeColor="text1"/>
                <w:sz w:val="24"/>
                <w:szCs w:val="24"/>
              </w:rPr>
              <w:t>£2,7</w:t>
            </w:r>
            <w:r>
              <w:rPr>
                <w:color w:val="000000" w:themeColor="text1"/>
                <w:sz w:val="24"/>
                <w:szCs w:val="24"/>
              </w:rPr>
              <w:t>59</w:t>
            </w:r>
          </w:p>
        </w:tc>
        <w:tc>
          <w:tcPr>
            <w:tcW w:w="1134" w:type="dxa"/>
            <w:shd w:val="clear" w:color="auto" w:fill="auto"/>
            <w:vAlign w:val="center"/>
          </w:tcPr>
          <w:p w:rsidR="0013320C" w:rsidRPr="00B112D6" w:rsidP="00377B46">
            <w:pPr>
              <w:jc w:val="center"/>
              <w:rPr>
                <w:color w:val="000000" w:themeColor="text1"/>
                <w:sz w:val="24"/>
                <w:szCs w:val="24"/>
              </w:rPr>
            </w:pPr>
            <w:r w:rsidRPr="00B112D6">
              <w:rPr>
                <w:color w:val="000000" w:themeColor="text1"/>
                <w:sz w:val="24"/>
                <w:szCs w:val="24"/>
              </w:rPr>
              <w:t>£0</w:t>
            </w:r>
          </w:p>
        </w:tc>
        <w:tc>
          <w:tcPr>
            <w:tcW w:w="1701" w:type="dxa"/>
            <w:shd w:val="clear" w:color="auto" w:fill="auto"/>
            <w:vAlign w:val="center"/>
          </w:tcPr>
          <w:p w:rsidR="0013320C" w:rsidRPr="00B112D6" w:rsidP="00377B46">
            <w:pPr>
              <w:jc w:val="center"/>
              <w:rPr>
                <w:color w:val="000000" w:themeColor="text1"/>
                <w:sz w:val="24"/>
                <w:szCs w:val="24"/>
              </w:rPr>
            </w:pPr>
            <w:r w:rsidRPr="00B112D6">
              <w:rPr>
                <w:color w:val="000000" w:themeColor="text1"/>
                <w:sz w:val="24"/>
                <w:szCs w:val="24"/>
              </w:rPr>
              <w:t>£23,</w:t>
            </w:r>
            <w:r>
              <w:rPr>
                <w:color w:val="000000" w:themeColor="text1"/>
                <w:sz w:val="24"/>
                <w:szCs w:val="24"/>
              </w:rPr>
              <w:t>194</w:t>
            </w:r>
          </w:p>
        </w:tc>
      </w:tr>
      <w:tr w:rsidTr="00840097">
        <w:tblPrEx>
          <w:tblW w:w="22397" w:type="dxa"/>
          <w:tblInd w:w="-572" w:type="dxa"/>
          <w:tblLayout w:type="fixed"/>
          <w:tblLook w:val="04A0"/>
        </w:tblPrEx>
        <w:trPr>
          <w:trHeight w:val="552"/>
        </w:trPr>
        <w:tc>
          <w:tcPr>
            <w:tcW w:w="567" w:type="dxa"/>
            <w:shd w:val="clear" w:color="auto" w:fill="auto"/>
          </w:tcPr>
          <w:p w:rsidR="000C2D3E" w:rsidRPr="00753D3F" w:rsidP="000C2D3E">
            <w:pPr>
              <w:rPr>
                <w:color w:val="FF0000"/>
                <w:sz w:val="24"/>
                <w:szCs w:val="24"/>
              </w:rPr>
            </w:pPr>
          </w:p>
        </w:tc>
        <w:tc>
          <w:tcPr>
            <w:tcW w:w="1843" w:type="dxa"/>
            <w:shd w:val="clear" w:color="auto" w:fill="auto"/>
          </w:tcPr>
          <w:p w:rsidR="000C2D3E" w:rsidRPr="00753D3F" w:rsidP="000C2D3E">
            <w:pPr>
              <w:rPr>
                <w:rFonts w:cs="Arial"/>
                <w:color w:val="FF0000"/>
                <w:sz w:val="24"/>
                <w:szCs w:val="24"/>
              </w:rPr>
            </w:pPr>
          </w:p>
        </w:tc>
        <w:tc>
          <w:tcPr>
            <w:tcW w:w="1985" w:type="dxa"/>
            <w:shd w:val="clear" w:color="auto" w:fill="auto"/>
          </w:tcPr>
          <w:p w:rsidR="000C2D3E" w:rsidRPr="00753D3F" w:rsidP="000C2D3E">
            <w:pPr>
              <w:rPr>
                <w:color w:val="FF0000"/>
                <w:sz w:val="24"/>
                <w:szCs w:val="24"/>
              </w:rPr>
            </w:pPr>
          </w:p>
        </w:tc>
        <w:tc>
          <w:tcPr>
            <w:tcW w:w="12190" w:type="dxa"/>
            <w:shd w:val="clear" w:color="auto" w:fill="auto"/>
            <w:vAlign w:val="center"/>
          </w:tcPr>
          <w:p w:rsidR="000C2D3E" w:rsidRPr="00753D3F" w:rsidP="000C2D3E">
            <w:pPr>
              <w:jc w:val="right"/>
              <w:rPr>
                <w:b/>
                <w:color w:val="FF0000"/>
                <w:sz w:val="24"/>
                <w:szCs w:val="24"/>
              </w:rPr>
            </w:pPr>
            <w:r>
              <w:rPr>
                <w:b/>
                <w:color w:val="000000" w:themeColor="text1"/>
                <w:sz w:val="24"/>
                <w:szCs w:val="24"/>
              </w:rPr>
              <w:t>Revised New Start 2014/15</w:t>
            </w:r>
            <w:r w:rsidRPr="00E473AE">
              <w:rPr>
                <w:b/>
                <w:color w:val="000000" w:themeColor="text1"/>
                <w:sz w:val="24"/>
                <w:szCs w:val="24"/>
              </w:rPr>
              <w:t xml:space="preserve"> Public Rights of Way</w:t>
            </w:r>
            <w:r>
              <w:rPr>
                <w:b/>
                <w:color w:val="000000" w:themeColor="text1"/>
                <w:sz w:val="24"/>
                <w:szCs w:val="24"/>
              </w:rPr>
              <w:t xml:space="preserve"> (PROW)</w:t>
            </w:r>
          </w:p>
        </w:tc>
        <w:tc>
          <w:tcPr>
            <w:tcW w:w="1418" w:type="dxa"/>
            <w:shd w:val="clear" w:color="auto" w:fill="auto"/>
            <w:vAlign w:val="center"/>
          </w:tcPr>
          <w:p w:rsidR="000C2D3E" w:rsidRPr="000C2D3E" w:rsidP="00377B46">
            <w:pPr>
              <w:jc w:val="center"/>
              <w:rPr>
                <w:b/>
                <w:color w:val="000000" w:themeColor="text1"/>
                <w:sz w:val="24"/>
                <w:szCs w:val="24"/>
              </w:rPr>
            </w:pPr>
            <w:r w:rsidRPr="000C2D3E">
              <w:rPr>
                <w:b/>
                <w:color w:val="000000" w:themeColor="text1"/>
                <w:sz w:val="24"/>
                <w:szCs w:val="24"/>
              </w:rPr>
              <w:t>£20,435</w:t>
            </w:r>
          </w:p>
        </w:tc>
        <w:tc>
          <w:tcPr>
            <w:tcW w:w="1559" w:type="dxa"/>
            <w:shd w:val="clear" w:color="auto" w:fill="auto"/>
            <w:vAlign w:val="center"/>
          </w:tcPr>
          <w:p w:rsidR="000C2D3E" w:rsidRPr="000C2D3E" w:rsidP="00377B46">
            <w:pPr>
              <w:jc w:val="center"/>
              <w:rPr>
                <w:b/>
                <w:color w:val="000000" w:themeColor="text1"/>
                <w:sz w:val="24"/>
                <w:szCs w:val="24"/>
              </w:rPr>
            </w:pPr>
            <w:r w:rsidRPr="000C2D3E">
              <w:rPr>
                <w:b/>
                <w:color w:val="000000" w:themeColor="text1"/>
                <w:sz w:val="24"/>
                <w:szCs w:val="24"/>
              </w:rPr>
              <w:t>£2,7</w:t>
            </w:r>
            <w:r>
              <w:rPr>
                <w:b/>
                <w:color w:val="000000" w:themeColor="text1"/>
                <w:sz w:val="24"/>
                <w:szCs w:val="24"/>
              </w:rPr>
              <w:t>59</w:t>
            </w:r>
          </w:p>
        </w:tc>
        <w:tc>
          <w:tcPr>
            <w:tcW w:w="1134" w:type="dxa"/>
            <w:shd w:val="clear" w:color="auto" w:fill="auto"/>
            <w:vAlign w:val="center"/>
          </w:tcPr>
          <w:p w:rsidR="000C2D3E" w:rsidRPr="000C2D3E" w:rsidP="00377B46">
            <w:pPr>
              <w:jc w:val="center"/>
              <w:rPr>
                <w:b/>
                <w:color w:val="000000" w:themeColor="text1"/>
                <w:sz w:val="24"/>
                <w:szCs w:val="24"/>
              </w:rPr>
            </w:pPr>
            <w:r w:rsidRPr="000C2D3E">
              <w:rPr>
                <w:b/>
                <w:color w:val="000000" w:themeColor="text1"/>
                <w:sz w:val="24"/>
                <w:szCs w:val="24"/>
              </w:rPr>
              <w:t>£0</w:t>
            </w:r>
          </w:p>
        </w:tc>
        <w:tc>
          <w:tcPr>
            <w:tcW w:w="1701" w:type="dxa"/>
            <w:shd w:val="clear" w:color="auto" w:fill="auto"/>
            <w:vAlign w:val="center"/>
          </w:tcPr>
          <w:p w:rsidR="000C2D3E" w:rsidRPr="000C2D3E" w:rsidP="00377B46">
            <w:pPr>
              <w:jc w:val="center"/>
              <w:rPr>
                <w:b/>
                <w:color w:val="000000" w:themeColor="text1"/>
                <w:sz w:val="24"/>
                <w:szCs w:val="24"/>
              </w:rPr>
            </w:pPr>
            <w:r w:rsidRPr="000C2D3E">
              <w:rPr>
                <w:b/>
                <w:color w:val="000000" w:themeColor="text1"/>
                <w:sz w:val="24"/>
                <w:szCs w:val="24"/>
              </w:rPr>
              <w:t>£23,</w:t>
            </w:r>
            <w:r>
              <w:rPr>
                <w:b/>
                <w:color w:val="000000" w:themeColor="text1"/>
                <w:sz w:val="24"/>
                <w:szCs w:val="24"/>
              </w:rPr>
              <w:t>194</w:t>
            </w:r>
          </w:p>
        </w:tc>
      </w:tr>
      <w:tr w:rsidTr="000A014B">
        <w:tblPrEx>
          <w:tblW w:w="22397" w:type="dxa"/>
          <w:tblInd w:w="-572" w:type="dxa"/>
          <w:tblLayout w:type="fixed"/>
          <w:tblLook w:val="04A0"/>
        </w:tblPrEx>
        <w:trPr>
          <w:trHeight w:val="390"/>
        </w:trPr>
        <w:tc>
          <w:tcPr>
            <w:tcW w:w="567" w:type="dxa"/>
            <w:shd w:val="clear" w:color="auto" w:fill="auto"/>
          </w:tcPr>
          <w:p w:rsidR="00AD42C9" w:rsidRPr="00AD42C9" w:rsidP="000C2D3E">
            <w:pPr>
              <w:rPr>
                <w:color w:val="000000" w:themeColor="text1"/>
                <w:sz w:val="24"/>
                <w:szCs w:val="24"/>
              </w:rPr>
            </w:pPr>
          </w:p>
        </w:tc>
        <w:tc>
          <w:tcPr>
            <w:tcW w:w="1843" w:type="dxa"/>
            <w:shd w:val="clear" w:color="auto" w:fill="auto"/>
          </w:tcPr>
          <w:p w:rsidR="00AD42C9" w:rsidRPr="00AD42C9" w:rsidP="000C2D3E">
            <w:pPr>
              <w:rPr>
                <w:rFonts w:cs="Arial"/>
                <w:color w:val="000000" w:themeColor="text1"/>
                <w:sz w:val="24"/>
                <w:szCs w:val="24"/>
              </w:rPr>
            </w:pPr>
          </w:p>
        </w:tc>
        <w:tc>
          <w:tcPr>
            <w:tcW w:w="1985" w:type="dxa"/>
            <w:shd w:val="clear" w:color="auto" w:fill="auto"/>
          </w:tcPr>
          <w:p w:rsidR="00AD42C9" w:rsidRPr="00FC3A5A" w:rsidP="000C2D3E">
            <w:pPr>
              <w:rPr>
                <w:rFonts w:cs="Arial"/>
                <w:color w:val="000000"/>
              </w:rPr>
            </w:pPr>
          </w:p>
        </w:tc>
        <w:tc>
          <w:tcPr>
            <w:tcW w:w="12190" w:type="dxa"/>
            <w:shd w:val="clear" w:color="auto" w:fill="auto"/>
            <w:vAlign w:val="center"/>
          </w:tcPr>
          <w:p w:rsidR="00AD42C9" w:rsidRPr="00AD42C9" w:rsidP="00AD42C9">
            <w:pPr>
              <w:jc w:val="both"/>
              <w:rPr>
                <w:rFonts w:cs="Arial"/>
                <w:b/>
                <w:color w:val="000000" w:themeColor="text1"/>
                <w:sz w:val="24"/>
                <w:szCs w:val="24"/>
              </w:rPr>
            </w:pPr>
            <w:r w:rsidRPr="00AD42C9">
              <w:rPr>
                <w:rFonts w:cs="Arial"/>
                <w:b/>
                <w:color w:val="000000" w:themeColor="text1"/>
                <w:sz w:val="24"/>
                <w:szCs w:val="24"/>
              </w:rPr>
              <w:t>New Start 2018/19 A,B,</w:t>
            </w:r>
            <w:r>
              <w:rPr>
                <w:rFonts w:cs="Arial"/>
                <w:b/>
                <w:color w:val="000000" w:themeColor="text1"/>
                <w:sz w:val="24"/>
                <w:szCs w:val="24"/>
              </w:rPr>
              <w:t xml:space="preserve"> and </w:t>
            </w:r>
            <w:r w:rsidRPr="00AD42C9">
              <w:rPr>
                <w:rFonts w:cs="Arial"/>
                <w:b/>
                <w:color w:val="000000" w:themeColor="text1"/>
                <w:sz w:val="24"/>
                <w:szCs w:val="24"/>
              </w:rPr>
              <w:t>C Roads</w:t>
            </w:r>
          </w:p>
        </w:tc>
        <w:tc>
          <w:tcPr>
            <w:tcW w:w="1418" w:type="dxa"/>
            <w:shd w:val="clear" w:color="auto" w:fill="auto"/>
            <w:vAlign w:val="center"/>
          </w:tcPr>
          <w:p w:rsidR="00AD42C9" w:rsidRPr="00AD42C9" w:rsidP="00AD42C9">
            <w:pPr>
              <w:jc w:val="center"/>
              <w:rPr>
                <w:rFonts w:cs="Arial"/>
                <w:color w:val="000000" w:themeColor="text1"/>
                <w:sz w:val="24"/>
                <w:szCs w:val="24"/>
              </w:rPr>
            </w:pPr>
          </w:p>
        </w:tc>
        <w:tc>
          <w:tcPr>
            <w:tcW w:w="1559" w:type="dxa"/>
            <w:shd w:val="clear" w:color="auto" w:fill="auto"/>
            <w:vAlign w:val="center"/>
          </w:tcPr>
          <w:p w:rsidR="00AD42C9" w:rsidRPr="00AD42C9" w:rsidP="00AD42C9">
            <w:pPr>
              <w:jc w:val="center"/>
              <w:rPr>
                <w:rFonts w:cs="Arial"/>
                <w:color w:val="000000" w:themeColor="text1"/>
                <w:sz w:val="24"/>
                <w:szCs w:val="24"/>
              </w:rPr>
            </w:pPr>
          </w:p>
        </w:tc>
        <w:tc>
          <w:tcPr>
            <w:tcW w:w="1134" w:type="dxa"/>
            <w:shd w:val="clear" w:color="auto" w:fill="auto"/>
            <w:vAlign w:val="center"/>
          </w:tcPr>
          <w:p w:rsidR="00AD42C9" w:rsidRPr="00AD42C9" w:rsidP="00AD42C9">
            <w:pPr>
              <w:jc w:val="center"/>
              <w:rPr>
                <w:rFonts w:cs="Arial"/>
                <w:color w:val="000000" w:themeColor="text1"/>
                <w:sz w:val="24"/>
                <w:szCs w:val="24"/>
              </w:rPr>
            </w:pPr>
          </w:p>
        </w:tc>
        <w:tc>
          <w:tcPr>
            <w:tcW w:w="1701" w:type="dxa"/>
            <w:shd w:val="clear" w:color="auto" w:fill="auto"/>
            <w:vAlign w:val="center"/>
          </w:tcPr>
          <w:p w:rsidR="00AD42C9" w:rsidRPr="00AD42C9" w:rsidP="00AD42C9">
            <w:pPr>
              <w:jc w:val="center"/>
              <w:rPr>
                <w:rFonts w:cs="Arial"/>
                <w:color w:val="000000" w:themeColor="text1"/>
                <w:sz w:val="24"/>
                <w:szCs w:val="24"/>
              </w:rPr>
            </w:pPr>
          </w:p>
        </w:tc>
      </w:tr>
      <w:tr w:rsidTr="00467DD9">
        <w:tblPrEx>
          <w:tblW w:w="22397" w:type="dxa"/>
          <w:tblInd w:w="-572" w:type="dxa"/>
          <w:tblLayout w:type="fixed"/>
          <w:tblLook w:val="04A0"/>
        </w:tblPrEx>
        <w:trPr>
          <w:trHeight w:val="1403"/>
        </w:trPr>
        <w:tc>
          <w:tcPr>
            <w:tcW w:w="567" w:type="dxa"/>
            <w:shd w:val="clear" w:color="auto" w:fill="auto"/>
          </w:tcPr>
          <w:p w:rsidR="0067522B" w:rsidRPr="0067522B" w:rsidP="0067522B">
            <w:pPr>
              <w:rPr>
                <w:color w:val="000000" w:themeColor="text1"/>
                <w:sz w:val="24"/>
                <w:szCs w:val="24"/>
              </w:rPr>
            </w:pPr>
            <w:r>
              <w:rPr>
                <w:color w:val="000000" w:themeColor="text1"/>
                <w:sz w:val="24"/>
                <w:szCs w:val="24"/>
              </w:rPr>
              <w:t>7</w:t>
            </w:r>
            <w:r w:rsidRPr="0067522B">
              <w:rPr>
                <w:color w:val="000000" w:themeColor="text1"/>
                <w:sz w:val="24"/>
                <w:szCs w:val="24"/>
              </w:rPr>
              <w:t>.</w:t>
            </w:r>
          </w:p>
        </w:tc>
        <w:tc>
          <w:tcPr>
            <w:tcW w:w="1843" w:type="dxa"/>
            <w:shd w:val="clear" w:color="auto" w:fill="auto"/>
          </w:tcPr>
          <w:p w:rsidR="0067522B" w:rsidRPr="0067522B" w:rsidP="0067522B">
            <w:pPr>
              <w:rPr>
                <w:rFonts w:cs="Arial"/>
                <w:sz w:val="24"/>
                <w:szCs w:val="24"/>
              </w:rPr>
            </w:pPr>
            <w:r w:rsidRPr="0067522B">
              <w:rPr>
                <w:rFonts w:cs="Arial"/>
                <w:sz w:val="24"/>
                <w:szCs w:val="24"/>
              </w:rPr>
              <w:t>Liverpool Old Road</w:t>
            </w:r>
          </w:p>
        </w:tc>
        <w:tc>
          <w:tcPr>
            <w:tcW w:w="1985" w:type="dxa"/>
            <w:shd w:val="clear" w:color="auto" w:fill="auto"/>
          </w:tcPr>
          <w:p w:rsidR="0067522B" w:rsidRPr="0067522B" w:rsidP="0067522B">
            <w:pPr>
              <w:rPr>
                <w:rFonts w:cs="Arial"/>
                <w:sz w:val="24"/>
                <w:szCs w:val="24"/>
              </w:rPr>
            </w:pPr>
            <w:r w:rsidRPr="0067522B">
              <w:rPr>
                <w:rFonts w:cs="Arial"/>
                <w:sz w:val="24"/>
                <w:szCs w:val="24"/>
              </w:rPr>
              <w:t>South Ribble West, South Ribble</w:t>
            </w:r>
          </w:p>
        </w:tc>
        <w:tc>
          <w:tcPr>
            <w:tcW w:w="12190" w:type="dxa"/>
            <w:shd w:val="clear" w:color="auto" w:fill="auto"/>
          </w:tcPr>
          <w:p w:rsidR="0067522B" w:rsidRPr="0067522B" w:rsidP="00A575E7">
            <w:pPr>
              <w:jc w:val="both"/>
              <w:rPr>
                <w:rFonts w:cs="Arial"/>
                <w:sz w:val="24"/>
                <w:szCs w:val="24"/>
              </w:rPr>
            </w:pPr>
            <w:r w:rsidRPr="0067522B">
              <w:rPr>
                <w:rFonts w:cs="Arial"/>
                <w:color w:val="000000" w:themeColor="text1"/>
                <w:sz w:val="24"/>
                <w:szCs w:val="24"/>
              </w:rPr>
              <w:t xml:space="preserve">This project was allocated £99,095 to inlay a section of road from </w:t>
            </w:r>
            <w:r>
              <w:rPr>
                <w:rFonts w:cs="Arial"/>
                <w:sz w:val="24"/>
                <w:szCs w:val="24"/>
              </w:rPr>
              <w:t>Liverpool Road t</w:t>
            </w:r>
            <w:r w:rsidRPr="0067522B">
              <w:rPr>
                <w:rFonts w:cs="Arial"/>
                <w:sz w:val="24"/>
                <w:szCs w:val="24"/>
              </w:rPr>
              <w:t xml:space="preserve">o Gill Lane. </w:t>
            </w:r>
            <w:r w:rsidRPr="0067522B">
              <w:rPr>
                <w:rFonts w:cs="Arial"/>
                <w:sz w:val="24"/>
                <w:szCs w:val="24"/>
              </w:rPr>
              <w:t>However</w:t>
            </w:r>
            <w:r>
              <w:rPr>
                <w:rFonts w:cs="Arial"/>
                <w:sz w:val="24"/>
                <w:szCs w:val="24"/>
              </w:rPr>
              <w:t>,</w:t>
            </w:r>
            <w:r w:rsidRPr="0067522B">
              <w:rPr>
                <w:rFonts w:cs="Arial"/>
                <w:sz w:val="24"/>
                <w:szCs w:val="24"/>
              </w:rPr>
              <w:t xml:space="preserve"> a recent review has highlighted that </w:t>
            </w:r>
            <w:r>
              <w:rPr>
                <w:rFonts w:cs="Arial"/>
                <w:sz w:val="24"/>
                <w:szCs w:val="24"/>
              </w:rPr>
              <w:t>surface dressing would be a more appropriate treatment. As surface dressing is a more cost effective treatment it is proposed that the project is extended to also include surface dressing of</w:t>
            </w:r>
            <w:r w:rsidRPr="0067522B">
              <w:rPr>
                <w:rFonts w:cs="Arial"/>
                <w:sz w:val="24"/>
                <w:szCs w:val="24"/>
              </w:rPr>
              <w:t xml:space="preserve"> </w:t>
            </w:r>
            <w:r>
              <w:rPr>
                <w:rFonts w:cs="Arial"/>
                <w:sz w:val="24"/>
                <w:szCs w:val="24"/>
              </w:rPr>
              <w:t>the section between</w:t>
            </w:r>
            <w:r>
              <w:rPr>
                <w:rFonts w:cs="Arial"/>
                <w:sz w:val="24"/>
                <w:szCs w:val="24"/>
              </w:rPr>
              <w:t xml:space="preserve"> Junction garage to </w:t>
            </w:r>
            <w:r>
              <w:rPr>
                <w:rFonts w:cs="Arial"/>
                <w:sz w:val="24"/>
                <w:szCs w:val="24"/>
              </w:rPr>
              <w:t>Suther's</w:t>
            </w:r>
            <w:r>
              <w:rPr>
                <w:rFonts w:cs="Arial"/>
                <w:sz w:val="24"/>
                <w:szCs w:val="24"/>
              </w:rPr>
              <w:t xml:space="preserve"> garage to address </w:t>
            </w:r>
            <w:r w:rsidRPr="0067522B">
              <w:rPr>
                <w:rFonts w:cs="Arial"/>
                <w:sz w:val="24"/>
                <w:szCs w:val="24"/>
              </w:rPr>
              <w:t>further deterioration</w:t>
            </w:r>
            <w:r>
              <w:rPr>
                <w:rFonts w:cs="Arial"/>
                <w:sz w:val="24"/>
                <w:szCs w:val="24"/>
              </w:rPr>
              <w:t xml:space="preserve"> that has occurred</w:t>
            </w:r>
            <w:r w:rsidRPr="0067522B">
              <w:rPr>
                <w:rFonts w:cs="Arial"/>
                <w:sz w:val="24"/>
                <w:szCs w:val="24"/>
              </w:rPr>
              <w:t xml:space="preserve"> over the winter period.</w:t>
            </w:r>
            <w:r>
              <w:rPr>
                <w:rFonts w:cs="Arial"/>
                <w:sz w:val="24"/>
                <w:szCs w:val="24"/>
              </w:rPr>
              <w:t xml:space="preserve"> This new proposal would realise an overall saving of £23,695 compared with the approved allocation. It is proposed to</w:t>
            </w:r>
            <w:r w:rsidRPr="0067522B">
              <w:rPr>
                <w:rFonts w:cs="Arial"/>
                <w:sz w:val="24"/>
                <w:szCs w:val="24"/>
              </w:rPr>
              <w:t xml:space="preserve"> re</w:t>
            </w:r>
            <w:r>
              <w:rPr>
                <w:rFonts w:cs="Arial"/>
                <w:sz w:val="24"/>
                <w:szCs w:val="24"/>
              </w:rPr>
              <w:t xml:space="preserve">lease this funding </w:t>
            </w:r>
            <w:r w:rsidRPr="0067522B">
              <w:rPr>
                <w:rFonts w:cs="Arial"/>
                <w:sz w:val="24"/>
                <w:szCs w:val="24"/>
              </w:rPr>
              <w:t>back i</w:t>
            </w:r>
            <w:r w:rsidRPr="0067522B">
              <w:rPr>
                <w:rFonts w:cs="Arial"/>
                <w:sz w:val="24"/>
                <w:szCs w:val="24"/>
              </w:rPr>
              <w:t>nto the programme.</w:t>
            </w:r>
          </w:p>
        </w:tc>
        <w:tc>
          <w:tcPr>
            <w:tcW w:w="1418" w:type="dxa"/>
            <w:shd w:val="clear" w:color="auto" w:fill="auto"/>
            <w:vAlign w:val="center"/>
          </w:tcPr>
          <w:p w:rsidR="0067522B" w:rsidRPr="0067522B" w:rsidP="00377B46">
            <w:pPr>
              <w:jc w:val="center"/>
              <w:rPr>
                <w:rFonts w:cs="Arial"/>
                <w:color w:val="000000" w:themeColor="text1"/>
                <w:sz w:val="24"/>
                <w:szCs w:val="24"/>
              </w:rPr>
            </w:pPr>
            <w:r w:rsidRPr="0067522B">
              <w:rPr>
                <w:rFonts w:cs="Arial"/>
                <w:color w:val="000000" w:themeColor="text1"/>
                <w:sz w:val="24"/>
                <w:szCs w:val="24"/>
              </w:rPr>
              <w:t>£99,095</w:t>
            </w:r>
          </w:p>
        </w:tc>
        <w:tc>
          <w:tcPr>
            <w:tcW w:w="1559" w:type="dxa"/>
            <w:shd w:val="clear" w:color="auto" w:fill="auto"/>
            <w:vAlign w:val="center"/>
          </w:tcPr>
          <w:p w:rsidR="0067522B" w:rsidRPr="0067522B" w:rsidP="00377B46">
            <w:pPr>
              <w:jc w:val="center"/>
              <w:rPr>
                <w:rFonts w:cs="Arial"/>
                <w:color w:val="000000" w:themeColor="text1"/>
                <w:sz w:val="24"/>
                <w:szCs w:val="24"/>
              </w:rPr>
            </w:pPr>
            <w:r w:rsidRPr="0067522B">
              <w:rPr>
                <w:rFonts w:cs="Arial"/>
                <w:color w:val="000000" w:themeColor="text1"/>
                <w:sz w:val="24"/>
                <w:szCs w:val="24"/>
              </w:rPr>
              <w:t>£0</w:t>
            </w:r>
          </w:p>
        </w:tc>
        <w:tc>
          <w:tcPr>
            <w:tcW w:w="1134" w:type="dxa"/>
            <w:shd w:val="clear" w:color="auto" w:fill="auto"/>
            <w:vAlign w:val="center"/>
          </w:tcPr>
          <w:p w:rsidR="0067522B" w:rsidRPr="0067522B" w:rsidP="00377B46">
            <w:pPr>
              <w:jc w:val="center"/>
              <w:rPr>
                <w:rFonts w:cs="Arial"/>
                <w:color w:val="000000" w:themeColor="text1"/>
                <w:sz w:val="24"/>
                <w:szCs w:val="24"/>
              </w:rPr>
            </w:pPr>
            <w:r w:rsidRPr="0067522B">
              <w:rPr>
                <w:rFonts w:cs="Arial"/>
                <w:color w:val="000000" w:themeColor="text1"/>
                <w:sz w:val="24"/>
                <w:szCs w:val="24"/>
              </w:rPr>
              <w:t>£23,695</w:t>
            </w:r>
          </w:p>
        </w:tc>
        <w:tc>
          <w:tcPr>
            <w:tcW w:w="1701" w:type="dxa"/>
            <w:shd w:val="clear" w:color="auto" w:fill="auto"/>
            <w:vAlign w:val="center"/>
          </w:tcPr>
          <w:p w:rsidR="0067522B" w:rsidRPr="0067522B" w:rsidP="00377B46">
            <w:pPr>
              <w:jc w:val="center"/>
              <w:rPr>
                <w:rFonts w:cs="Arial"/>
                <w:color w:val="000000" w:themeColor="text1"/>
                <w:sz w:val="24"/>
                <w:szCs w:val="24"/>
              </w:rPr>
            </w:pPr>
            <w:r w:rsidRPr="0067522B">
              <w:rPr>
                <w:rFonts w:cs="Arial"/>
                <w:color w:val="000000" w:themeColor="text1"/>
                <w:sz w:val="24"/>
                <w:szCs w:val="24"/>
              </w:rPr>
              <w:t>£75,400</w:t>
            </w:r>
          </w:p>
        </w:tc>
      </w:tr>
      <w:tr w:rsidTr="00F82368">
        <w:tblPrEx>
          <w:tblW w:w="22397" w:type="dxa"/>
          <w:tblInd w:w="-572" w:type="dxa"/>
          <w:tblLayout w:type="fixed"/>
          <w:tblLook w:val="04A0"/>
        </w:tblPrEx>
        <w:trPr>
          <w:trHeight w:val="1261"/>
        </w:trPr>
        <w:tc>
          <w:tcPr>
            <w:tcW w:w="567" w:type="dxa"/>
            <w:shd w:val="clear" w:color="auto" w:fill="auto"/>
          </w:tcPr>
          <w:p w:rsidR="0067522B" w:rsidRPr="00467DD9" w:rsidP="0067522B">
            <w:pPr>
              <w:rPr>
                <w:color w:val="000000" w:themeColor="text1"/>
                <w:sz w:val="24"/>
                <w:szCs w:val="24"/>
              </w:rPr>
            </w:pPr>
            <w:r>
              <w:rPr>
                <w:color w:val="000000" w:themeColor="text1"/>
                <w:sz w:val="24"/>
                <w:szCs w:val="24"/>
              </w:rPr>
              <w:t>8</w:t>
            </w:r>
            <w:r w:rsidRPr="00467DD9">
              <w:rPr>
                <w:color w:val="000000" w:themeColor="text1"/>
                <w:sz w:val="24"/>
                <w:szCs w:val="24"/>
              </w:rPr>
              <w:t>.</w:t>
            </w:r>
          </w:p>
        </w:tc>
        <w:tc>
          <w:tcPr>
            <w:tcW w:w="1843" w:type="dxa"/>
            <w:shd w:val="clear" w:color="auto" w:fill="auto"/>
          </w:tcPr>
          <w:p w:rsidR="0067522B" w:rsidRPr="00467DD9" w:rsidP="0067522B">
            <w:pPr>
              <w:rPr>
                <w:rFonts w:cs="Arial"/>
                <w:color w:val="000000" w:themeColor="text1"/>
                <w:sz w:val="24"/>
                <w:szCs w:val="24"/>
              </w:rPr>
            </w:pPr>
            <w:r w:rsidRPr="00467DD9">
              <w:rPr>
                <w:rFonts w:cs="Arial"/>
                <w:color w:val="000000" w:themeColor="text1"/>
                <w:sz w:val="24"/>
                <w:szCs w:val="24"/>
              </w:rPr>
              <w:t>Hyndburn Road</w:t>
            </w:r>
          </w:p>
        </w:tc>
        <w:tc>
          <w:tcPr>
            <w:tcW w:w="1985" w:type="dxa"/>
            <w:shd w:val="clear" w:color="auto" w:fill="auto"/>
          </w:tcPr>
          <w:p w:rsidR="0067522B" w:rsidRPr="00467DD9" w:rsidP="0067522B">
            <w:pPr>
              <w:rPr>
                <w:color w:val="FF0000"/>
                <w:sz w:val="24"/>
                <w:szCs w:val="24"/>
              </w:rPr>
            </w:pPr>
            <w:r w:rsidRPr="00467DD9">
              <w:rPr>
                <w:rFonts w:cs="Arial"/>
                <w:color w:val="000000"/>
                <w:sz w:val="24"/>
                <w:szCs w:val="24"/>
              </w:rPr>
              <w:t xml:space="preserve">Accrington West and </w:t>
            </w:r>
            <w:r w:rsidRPr="00467DD9">
              <w:rPr>
                <w:rFonts w:cs="Arial"/>
                <w:color w:val="000000"/>
                <w:sz w:val="24"/>
                <w:szCs w:val="24"/>
              </w:rPr>
              <w:t>Oswaldtwistle</w:t>
            </w:r>
            <w:r w:rsidRPr="00467DD9">
              <w:rPr>
                <w:rFonts w:cs="Arial"/>
                <w:color w:val="000000"/>
                <w:sz w:val="24"/>
                <w:szCs w:val="24"/>
              </w:rPr>
              <w:t>, Hyndburn</w:t>
            </w:r>
          </w:p>
        </w:tc>
        <w:tc>
          <w:tcPr>
            <w:tcW w:w="12190" w:type="dxa"/>
            <w:shd w:val="clear" w:color="auto" w:fill="auto"/>
          </w:tcPr>
          <w:p w:rsidR="0067522B" w:rsidRPr="00467DD9" w:rsidP="00832410">
            <w:pPr>
              <w:jc w:val="both"/>
              <w:rPr>
                <w:rFonts w:cs="Arial"/>
                <w:color w:val="000000" w:themeColor="text1"/>
                <w:sz w:val="24"/>
                <w:szCs w:val="24"/>
              </w:rPr>
            </w:pPr>
            <w:r w:rsidRPr="00467DD9">
              <w:rPr>
                <w:rFonts w:cs="Arial"/>
                <w:color w:val="000000" w:themeColor="text1"/>
                <w:sz w:val="24"/>
                <w:szCs w:val="24"/>
              </w:rPr>
              <w:t xml:space="preserve">This project was allocated £96,059 to resurface a section of this road. However, since it was originally inspected last year the severe winter has </w:t>
            </w:r>
            <w:r w:rsidRPr="00467DD9">
              <w:rPr>
                <w:rFonts w:cs="Arial"/>
                <w:color w:val="000000" w:themeColor="text1"/>
                <w:sz w:val="24"/>
                <w:szCs w:val="24"/>
              </w:rPr>
              <w:t>resulted in further significant deterioration and as such more extensive works and a deeper inlay is required to resurface the most damaged area</w:t>
            </w:r>
            <w:r>
              <w:rPr>
                <w:rFonts w:cs="Arial"/>
                <w:color w:val="000000" w:themeColor="text1"/>
                <w:sz w:val="24"/>
                <w:szCs w:val="24"/>
              </w:rPr>
              <w:t xml:space="preserve"> </w:t>
            </w:r>
            <w:r w:rsidRPr="00467DD9">
              <w:rPr>
                <w:rFonts w:cs="Arial"/>
                <w:color w:val="000000" w:themeColor="text1"/>
                <w:sz w:val="24"/>
                <w:szCs w:val="24"/>
              </w:rPr>
              <w:t xml:space="preserve">It is </w:t>
            </w:r>
            <w:r>
              <w:rPr>
                <w:rFonts w:cs="Arial"/>
                <w:color w:val="000000" w:themeColor="text1"/>
                <w:sz w:val="24"/>
                <w:szCs w:val="24"/>
              </w:rPr>
              <w:t xml:space="preserve">therefore </w:t>
            </w:r>
            <w:r w:rsidRPr="00467DD9">
              <w:rPr>
                <w:rFonts w:cs="Arial"/>
                <w:color w:val="000000" w:themeColor="text1"/>
                <w:sz w:val="24"/>
                <w:szCs w:val="24"/>
              </w:rPr>
              <w:t xml:space="preserve">proposed that the additional works are funded from the </w:t>
            </w:r>
            <w:r>
              <w:rPr>
                <w:rFonts w:cs="Arial"/>
                <w:color w:val="000000" w:themeColor="text1"/>
                <w:sz w:val="24"/>
                <w:szCs w:val="24"/>
              </w:rPr>
              <w:t xml:space="preserve">Pothole Action Fund. </w:t>
            </w:r>
          </w:p>
        </w:tc>
        <w:tc>
          <w:tcPr>
            <w:tcW w:w="1418" w:type="dxa"/>
            <w:shd w:val="clear" w:color="auto" w:fill="auto"/>
            <w:vAlign w:val="center"/>
          </w:tcPr>
          <w:p w:rsidR="0067522B" w:rsidRPr="00467DD9" w:rsidP="00377B46">
            <w:pPr>
              <w:jc w:val="center"/>
              <w:rPr>
                <w:rFonts w:cs="Arial"/>
                <w:color w:val="000000" w:themeColor="text1"/>
                <w:sz w:val="24"/>
                <w:szCs w:val="24"/>
              </w:rPr>
            </w:pPr>
            <w:r w:rsidRPr="00467DD9">
              <w:rPr>
                <w:rFonts w:cs="Arial"/>
                <w:color w:val="000000" w:themeColor="text1"/>
                <w:sz w:val="24"/>
                <w:szCs w:val="24"/>
              </w:rPr>
              <w:t>£96,059</w:t>
            </w:r>
          </w:p>
        </w:tc>
        <w:tc>
          <w:tcPr>
            <w:tcW w:w="1559" w:type="dxa"/>
            <w:shd w:val="clear" w:color="auto" w:fill="auto"/>
            <w:vAlign w:val="center"/>
          </w:tcPr>
          <w:p w:rsidR="0067522B" w:rsidRPr="00467DD9" w:rsidP="00377B46">
            <w:pPr>
              <w:jc w:val="center"/>
              <w:rPr>
                <w:rFonts w:cs="Arial"/>
                <w:color w:val="000000" w:themeColor="text1"/>
                <w:sz w:val="24"/>
                <w:szCs w:val="24"/>
              </w:rPr>
            </w:pPr>
            <w:r w:rsidRPr="00467DD9">
              <w:rPr>
                <w:rFonts w:cs="Arial"/>
                <w:color w:val="000000" w:themeColor="text1"/>
                <w:sz w:val="24"/>
                <w:szCs w:val="24"/>
              </w:rPr>
              <w:t>£57,000</w:t>
            </w:r>
          </w:p>
        </w:tc>
        <w:tc>
          <w:tcPr>
            <w:tcW w:w="1134" w:type="dxa"/>
            <w:shd w:val="clear" w:color="auto" w:fill="auto"/>
            <w:vAlign w:val="center"/>
          </w:tcPr>
          <w:p w:rsidR="0067522B" w:rsidRPr="00467DD9" w:rsidP="00377B46">
            <w:pPr>
              <w:jc w:val="center"/>
              <w:rPr>
                <w:rFonts w:cs="Arial"/>
                <w:color w:val="000000" w:themeColor="text1"/>
                <w:sz w:val="24"/>
                <w:szCs w:val="24"/>
              </w:rPr>
            </w:pPr>
            <w:r w:rsidRPr="00467DD9">
              <w:rPr>
                <w:rFonts w:cs="Arial"/>
                <w:color w:val="000000" w:themeColor="text1"/>
                <w:sz w:val="24"/>
                <w:szCs w:val="24"/>
              </w:rPr>
              <w:t>£0</w:t>
            </w:r>
          </w:p>
        </w:tc>
        <w:tc>
          <w:tcPr>
            <w:tcW w:w="1701" w:type="dxa"/>
            <w:shd w:val="clear" w:color="auto" w:fill="auto"/>
            <w:vAlign w:val="center"/>
          </w:tcPr>
          <w:p w:rsidR="0067522B" w:rsidRPr="00467DD9" w:rsidP="00377B46">
            <w:pPr>
              <w:jc w:val="center"/>
              <w:rPr>
                <w:rFonts w:cs="Arial"/>
                <w:color w:val="000000" w:themeColor="text1"/>
                <w:sz w:val="24"/>
                <w:szCs w:val="24"/>
              </w:rPr>
            </w:pPr>
            <w:r w:rsidRPr="00467DD9">
              <w:rPr>
                <w:rFonts w:cs="Arial"/>
                <w:color w:val="000000" w:themeColor="text1"/>
                <w:sz w:val="24"/>
                <w:szCs w:val="24"/>
              </w:rPr>
              <w:t>£153,059</w:t>
            </w:r>
          </w:p>
        </w:tc>
      </w:tr>
      <w:tr w:rsidTr="00B112D6">
        <w:tblPrEx>
          <w:tblW w:w="22397" w:type="dxa"/>
          <w:tblInd w:w="-572" w:type="dxa"/>
          <w:tblLayout w:type="fixed"/>
          <w:tblLook w:val="04A0"/>
        </w:tblPrEx>
        <w:trPr>
          <w:trHeight w:val="409"/>
        </w:trPr>
        <w:tc>
          <w:tcPr>
            <w:tcW w:w="567" w:type="dxa"/>
            <w:shd w:val="clear" w:color="auto" w:fill="auto"/>
          </w:tcPr>
          <w:p w:rsidR="0067522B" w:rsidRPr="00753D3F" w:rsidP="0067522B">
            <w:pPr>
              <w:rPr>
                <w:color w:val="FF0000"/>
                <w:sz w:val="24"/>
                <w:szCs w:val="24"/>
              </w:rPr>
            </w:pPr>
          </w:p>
        </w:tc>
        <w:tc>
          <w:tcPr>
            <w:tcW w:w="1843" w:type="dxa"/>
            <w:shd w:val="clear" w:color="auto" w:fill="auto"/>
          </w:tcPr>
          <w:p w:rsidR="0067522B" w:rsidRPr="00753D3F" w:rsidP="0067522B">
            <w:pPr>
              <w:rPr>
                <w:rFonts w:cs="Arial"/>
                <w:color w:val="FF0000"/>
                <w:sz w:val="24"/>
                <w:szCs w:val="24"/>
              </w:rPr>
            </w:pPr>
          </w:p>
        </w:tc>
        <w:tc>
          <w:tcPr>
            <w:tcW w:w="1985" w:type="dxa"/>
            <w:shd w:val="clear" w:color="auto" w:fill="auto"/>
          </w:tcPr>
          <w:p w:rsidR="0067522B" w:rsidRPr="00753D3F" w:rsidP="0067522B">
            <w:pPr>
              <w:rPr>
                <w:color w:val="FF0000"/>
                <w:sz w:val="24"/>
                <w:szCs w:val="24"/>
              </w:rPr>
            </w:pPr>
          </w:p>
        </w:tc>
        <w:tc>
          <w:tcPr>
            <w:tcW w:w="12190" w:type="dxa"/>
            <w:shd w:val="clear" w:color="auto" w:fill="auto"/>
            <w:vAlign w:val="center"/>
          </w:tcPr>
          <w:p w:rsidR="0067522B" w:rsidP="0067522B">
            <w:pPr>
              <w:jc w:val="right"/>
              <w:rPr>
                <w:b/>
                <w:color w:val="000000" w:themeColor="text1"/>
                <w:sz w:val="24"/>
                <w:szCs w:val="24"/>
              </w:rPr>
            </w:pPr>
            <w:r>
              <w:rPr>
                <w:rFonts w:cs="Arial"/>
                <w:b/>
                <w:color w:val="000000" w:themeColor="text1"/>
                <w:sz w:val="24"/>
                <w:szCs w:val="24"/>
              </w:rPr>
              <w:t xml:space="preserve">Revised </w:t>
            </w:r>
            <w:r w:rsidRPr="00AD42C9">
              <w:rPr>
                <w:rFonts w:cs="Arial"/>
                <w:b/>
                <w:color w:val="000000" w:themeColor="text1"/>
                <w:sz w:val="24"/>
                <w:szCs w:val="24"/>
              </w:rPr>
              <w:t>New Start 2018/19 A,B,C Roads</w:t>
            </w:r>
          </w:p>
        </w:tc>
        <w:tc>
          <w:tcPr>
            <w:tcW w:w="1418" w:type="dxa"/>
            <w:shd w:val="clear" w:color="auto" w:fill="auto"/>
            <w:vAlign w:val="center"/>
          </w:tcPr>
          <w:p w:rsidR="0067522B" w:rsidRPr="00AD42C9" w:rsidP="00377B46">
            <w:pPr>
              <w:jc w:val="center"/>
              <w:rPr>
                <w:rFonts w:cs="Arial"/>
                <w:b/>
                <w:color w:val="000000" w:themeColor="text1"/>
                <w:sz w:val="24"/>
                <w:szCs w:val="24"/>
              </w:rPr>
            </w:pPr>
            <w:r w:rsidRPr="00AD42C9">
              <w:rPr>
                <w:rFonts w:cs="Arial"/>
                <w:b/>
                <w:color w:val="000000" w:themeColor="text1"/>
                <w:sz w:val="24"/>
                <w:szCs w:val="24"/>
              </w:rPr>
              <w:t>£</w:t>
            </w:r>
            <w:r>
              <w:rPr>
                <w:rFonts w:cs="Arial"/>
                <w:b/>
                <w:color w:val="000000" w:themeColor="text1"/>
                <w:sz w:val="24"/>
                <w:szCs w:val="24"/>
              </w:rPr>
              <w:t>195,154</w:t>
            </w:r>
          </w:p>
        </w:tc>
        <w:tc>
          <w:tcPr>
            <w:tcW w:w="1559" w:type="dxa"/>
            <w:shd w:val="clear" w:color="auto" w:fill="auto"/>
            <w:vAlign w:val="center"/>
          </w:tcPr>
          <w:p w:rsidR="0067522B" w:rsidRPr="00AD42C9" w:rsidP="00377B46">
            <w:pPr>
              <w:jc w:val="center"/>
              <w:rPr>
                <w:rFonts w:cs="Arial"/>
                <w:b/>
                <w:color w:val="000000" w:themeColor="text1"/>
                <w:sz w:val="24"/>
                <w:szCs w:val="24"/>
              </w:rPr>
            </w:pPr>
            <w:r w:rsidRPr="00AD42C9">
              <w:rPr>
                <w:rFonts w:cs="Arial"/>
                <w:b/>
                <w:color w:val="000000" w:themeColor="text1"/>
                <w:sz w:val="24"/>
                <w:szCs w:val="24"/>
              </w:rPr>
              <w:t>£57,000</w:t>
            </w:r>
          </w:p>
        </w:tc>
        <w:tc>
          <w:tcPr>
            <w:tcW w:w="1134" w:type="dxa"/>
            <w:shd w:val="clear" w:color="auto" w:fill="auto"/>
            <w:vAlign w:val="center"/>
          </w:tcPr>
          <w:p w:rsidR="0067522B" w:rsidRPr="00AD42C9" w:rsidP="00377B46">
            <w:pPr>
              <w:jc w:val="center"/>
              <w:rPr>
                <w:rFonts w:cs="Arial"/>
                <w:b/>
                <w:color w:val="000000" w:themeColor="text1"/>
                <w:sz w:val="24"/>
                <w:szCs w:val="24"/>
              </w:rPr>
            </w:pPr>
            <w:r w:rsidRPr="00AD42C9">
              <w:rPr>
                <w:rFonts w:cs="Arial"/>
                <w:b/>
                <w:color w:val="000000" w:themeColor="text1"/>
                <w:sz w:val="24"/>
                <w:szCs w:val="24"/>
              </w:rPr>
              <w:t>£</w:t>
            </w:r>
            <w:r>
              <w:rPr>
                <w:rFonts w:cs="Arial"/>
                <w:b/>
                <w:color w:val="000000" w:themeColor="text1"/>
                <w:sz w:val="24"/>
                <w:szCs w:val="24"/>
              </w:rPr>
              <w:t>23,695</w:t>
            </w:r>
          </w:p>
        </w:tc>
        <w:tc>
          <w:tcPr>
            <w:tcW w:w="1701" w:type="dxa"/>
            <w:shd w:val="clear" w:color="auto" w:fill="auto"/>
            <w:vAlign w:val="center"/>
          </w:tcPr>
          <w:p w:rsidR="0067522B" w:rsidRPr="00AD42C9" w:rsidP="00377B46">
            <w:pPr>
              <w:jc w:val="center"/>
              <w:rPr>
                <w:rFonts w:cs="Arial"/>
                <w:b/>
                <w:color w:val="000000" w:themeColor="text1"/>
                <w:sz w:val="24"/>
                <w:szCs w:val="24"/>
              </w:rPr>
            </w:pPr>
            <w:r w:rsidRPr="00AD42C9">
              <w:rPr>
                <w:rFonts w:cs="Arial"/>
                <w:b/>
                <w:color w:val="000000" w:themeColor="text1"/>
                <w:sz w:val="24"/>
                <w:szCs w:val="24"/>
              </w:rPr>
              <w:t>£</w:t>
            </w:r>
            <w:r>
              <w:rPr>
                <w:rFonts w:cs="Arial"/>
                <w:b/>
                <w:color w:val="000000" w:themeColor="text1"/>
                <w:sz w:val="24"/>
                <w:szCs w:val="24"/>
              </w:rPr>
              <w:t>228,459</w:t>
            </w:r>
          </w:p>
        </w:tc>
      </w:tr>
    </w:tbl>
    <w:p w:rsidR="00E22B0C" w:rsidRPr="009F3FE5" w:rsidP="0016638D"/>
    <w:sectPr w:rsidSect="00B112D6">
      <w:footerReference w:type="default" r:id="rId5"/>
      <w:pgSz w:w="23814" w:h="16839" w:orient="landscape" w:code="8"/>
      <w:pgMar w:top="680" w:right="1021" w:bottom="680"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5804279"/>
      <w:docPartObj>
        <w:docPartGallery w:val="Page Numbers (Bottom of Page)"/>
        <w:docPartUnique/>
      </w:docPartObj>
    </w:sdtPr>
    <w:sdtEndPr>
      <w:rPr>
        <w:noProof/>
      </w:rPr>
    </w:sdtEndPr>
    <w:sdtContent>
      <w:p w:rsidR="00D22912">
        <w:pPr>
          <w:pStyle w:val="Footer"/>
        </w:pPr>
        <w:r>
          <w:fldChar w:fldCharType="begin"/>
        </w:r>
        <w:r>
          <w:instrText xml:space="preserve"> PAGE   \* MERGEFORMAT </w:instrText>
        </w:r>
        <w:r>
          <w:fldChar w:fldCharType="separate"/>
        </w:r>
        <w:r>
          <w:rPr>
            <w:noProof/>
          </w:rPr>
          <w:t>2</w:t>
        </w:r>
        <w:r>
          <w:rPr>
            <w:noProof/>
          </w:rPr>
          <w:fldChar w:fldCharType="end"/>
        </w:r>
      </w:p>
    </w:sdtContent>
  </w:sdt>
  <w:p w:rsidR="00D2291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3472F"/>
    <w:multiLevelType w:val="hybridMultilevel"/>
    <w:tmpl w:val="19482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66A0B"/>
    <w:multiLevelType w:val="hybridMultilevel"/>
    <w:tmpl w:val="E08E26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CE3C0B"/>
    <w:multiLevelType w:val="hybridMultilevel"/>
    <w:tmpl w:val="60E24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435FC0"/>
    <w:multiLevelType w:val="hybridMultilevel"/>
    <w:tmpl w:val="48EAC68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0E724BD6"/>
    <w:multiLevelType w:val="hybridMultilevel"/>
    <w:tmpl w:val="625A7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FA57236"/>
    <w:multiLevelType w:val="hybridMultilevel"/>
    <w:tmpl w:val="7F8228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CF6FC3"/>
    <w:multiLevelType w:val="hybridMultilevel"/>
    <w:tmpl w:val="D408DA42"/>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7">
    <w:nsid w:val="1E4F7418"/>
    <w:multiLevelType w:val="hybridMultilevel"/>
    <w:tmpl w:val="342E16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C92C22"/>
    <w:multiLevelType w:val="hybridMultilevel"/>
    <w:tmpl w:val="7BCCE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AB037C"/>
    <w:multiLevelType w:val="hybridMultilevel"/>
    <w:tmpl w:val="722ECF18"/>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0">
    <w:nsid w:val="25086ED3"/>
    <w:multiLevelType w:val="hybridMultilevel"/>
    <w:tmpl w:val="BDEC7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6605BA"/>
    <w:multiLevelType w:val="hybridMultilevel"/>
    <w:tmpl w:val="5CBC2A4A"/>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FF5218"/>
    <w:multiLevelType w:val="hybridMultilevel"/>
    <w:tmpl w:val="6D9C8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7168AA"/>
    <w:multiLevelType w:val="hybridMultilevel"/>
    <w:tmpl w:val="37725E76"/>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4">
    <w:nsid w:val="2EF53861"/>
    <w:multiLevelType w:val="hybridMultilevel"/>
    <w:tmpl w:val="233C2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A53482"/>
    <w:multiLevelType w:val="hybridMultilevel"/>
    <w:tmpl w:val="0F127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BC1B9D"/>
    <w:multiLevelType w:val="hybridMultilevel"/>
    <w:tmpl w:val="0D305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4D578D"/>
    <w:multiLevelType w:val="hybridMultilevel"/>
    <w:tmpl w:val="088084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8361CB6"/>
    <w:multiLevelType w:val="hybridMultilevel"/>
    <w:tmpl w:val="57560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B45D92"/>
    <w:multiLevelType w:val="hybridMultilevel"/>
    <w:tmpl w:val="46D24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70283B"/>
    <w:multiLevelType w:val="hybridMultilevel"/>
    <w:tmpl w:val="E708DF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FC65B87"/>
    <w:multiLevelType w:val="hybridMultilevel"/>
    <w:tmpl w:val="336AC3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214567"/>
    <w:multiLevelType w:val="hybridMultilevel"/>
    <w:tmpl w:val="1B6ED4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373C8A"/>
    <w:multiLevelType w:val="hybridMultilevel"/>
    <w:tmpl w:val="73EE153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47BD50AF"/>
    <w:multiLevelType w:val="hybridMultilevel"/>
    <w:tmpl w:val="47701AEA"/>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BC16A41"/>
    <w:multiLevelType w:val="hybridMultilevel"/>
    <w:tmpl w:val="11DEE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6C6804"/>
    <w:multiLevelType w:val="hybridMultilevel"/>
    <w:tmpl w:val="7BDAB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03833E0"/>
    <w:multiLevelType w:val="hybridMultilevel"/>
    <w:tmpl w:val="6CC2B90C"/>
    <w:lvl w:ilvl="0">
      <w:start w:val="4"/>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41A2394"/>
    <w:multiLevelType w:val="hybridMultilevel"/>
    <w:tmpl w:val="2598B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2D6B2F"/>
    <w:multiLevelType w:val="hybridMultilevel"/>
    <w:tmpl w:val="73002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4BB2F19"/>
    <w:multiLevelType w:val="hybridMultilevel"/>
    <w:tmpl w:val="3C34F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3746A9"/>
    <w:multiLevelType w:val="hybridMultilevel"/>
    <w:tmpl w:val="7756B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16679E"/>
    <w:multiLevelType w:val="hybridMultilevel"/>
    <w:tmpl w:val="6FF0A3FA"/>
    <w:lvl w:ilvl="0">
      <w:start w:val="1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A57E40"/>
    <w:multiLevelType w:val="hybridMultilevel"/>
    <w:tmpl w:val="46B62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AC3E4A"/>
    <w:multiLevelType w:val="hybridMultilevel"/>
    <w:tmpl w:val="DA207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8E07DA8"/>
    <w:multiLevelType w:val="hybridMultilevel"/>
    <w:tmpl w:val="7FCC1D1C"/>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2"/>
  </w:num>
  <w:num w:numId="3">
    <w:abstractNumId w:val="10"/>
  </w:num>
  <w:num w:numId="4">
    <w:abstractNumId w:val="33"/>
  </w:num>
  <w:num w:numId="5">
    <w:abstractNumId w:val="1"/>
  </w:num>
  <w:num w:numId="6">
    <w:abstractNumId w:val="29"/>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8"/>
  </w:num>
  <w:num w:numId="15">
    <w:abstractNumId w:val="21"/>
  </w:num>
  <w:num w:numId="16">
    <w:abstractNumId w:val="5"/>
  </w:num>
  <w:num w:numId="17">
    <w:abstractNumId w:val="22"/>
  </w:num>
  <w:num w:numId="18">
    <w:abstractNumId w:val="31"/>
  </w:num>
  <w:num w:numId="19">
    <w:abstractNumId w:val="6"/>
  </w:num>
  <w:num w:numId="20">
    <w:abstractNumId w:val="0"/>
  </w:num>
  <w:num w:numId="21">
    <w:abstractNumId w:val="28"/>
  </w:num>
  <w:num w:numId="22">
    <w:abstractNumId w:val="13"/>
  </w:num>
  <w:num w:numId="23">
    <w:abstractNumId w:val="16"/>
  </w:num>
  <w:num w:numId="24">
    <w:abstractNumId w:val="27"/>
  </w:num>
  <w:num w:numId="25">
    <w:abstractNumId w:val="17"/>
  </w:num>
  <w:num w:numId="26">
    <w:abstractNumId w:val="12"/>
  </w:num>
  <w:num w:numId="27">
    <w:abstractNumId w:val="25"/>
  </w:num>
  <w:num w:numId="28">
    <w:abstractNumId w:val="14"/>
  </w:num>
  <w:num w:numId="29">
    <w:abstractNumId w:val="20"/>
  </w:num>
  <w:num w:numId="30">
    <w:abstractNumId w:val="3"/>
  </w:num>
  <w:num w:numId="31">
    <w:abstractNumId w:val="7"/>
  </w:num>
  <w:num w:numId="32">
    <w:abstractNumId w:val="30"/>
  </w:num>
  <w:num w:numId="33">
    <w:abstractNumId w:val="2"/>
  </w:num>
  <w:num w:numId="34">
    <w:abstractNumId w:val="26"/>
  </w:num>
  <w:num w:numId="35">
    <w:abstractNumId w:val="34"/>
  </w:num>
  <w:num w:numId="36">
    <w:abstractNumId w:val="9"/>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A344-91EC-4576-A677-9043F04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Wilson, Janet</cp:lastModifiedBy>
  <cp:revision>29</cp:revision>
  <cp:lastPrinted>2018-05-04T09:52:00Z</cp:lastPrinted>
  <dcterms:created xsi:type="dcterms:W3CDTF">2018-05-10T14:15:00Z</dcterms:created>
  <dcterms:modified xsi:type="dcterms:W3CDTF">2018-05-31T13:08:00Z</dcterms:modified>
</cp:coreProperties>
</file>